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270EF8" w:rsidRDefault="00270EF8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3BD5270D" wp14:editId="7B47F0E4">
                <wp:simplePos x="0" y="0"/>
                <wp:positionH relativeFrom="margin">
                  <wp:posOffset>5937</wp:posOffset>
                </wp:positionH>
                <wp:positionV relativeFrom="paragraph">
                  <wp:posOffset>-77190</wp:posOffset>
                </wp:positionV>
                <wp:extent cx="6840187" cy="3122930"/>
                <wp:effectExtent l="0" t="0" r="0" b="3810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187" cy="3122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243B" w:rsidRPr="00F45E6F" w:rsidRDefault="00DA243B" w:rsidP="00C123A6">
                            <w:pPr>
                              <w:pStyle w:val="Sinespaciado"/>
                              <w:jc w:val="both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5E6F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Entorno J</w:t>
                            </w:r>
                            <w:r w:rsidR="00187BD0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urídico Especí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fico del Punto </w:t>
                            </w:r>
                            <w:r w:rsidR="00CD47D0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14</w:t>
                            </w:r>
                          </w:p>
                          <w:p w:rsidR="00DA243B" w:rsidRPr="00BB6D26" w:rsidRDefault="00CD47D0" w:rsidP="004660D1">
                            <w:pPr>
                              <w:pStyle w:val="Sinespaciado"/>
                              <w:ind w:left="284"/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D47D0"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PUBLICAR LA INFORMACIÓN A QUE SE REFIERE LA NORMA PARA ARMONIZAR LA PRESENTACIÓN DE LA INFORMACIÓN ADICIONAL A LA INICIATIVA DE LA LEY DE INGRESOS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D5270D" id="_x0000_t202" coordsize="21600,21600" o:spt="202" path="m,l,21600r21600,l21600,xe">
                <v:stroke joinstyle="miter"/>
                <v:path gradientshapeok="t" o:connecttype="rect"/>
              </v:shapetype>
              <v:shape id="Cuadro de texto 5" o:spid="_x0000_s1026" type="#_x0000_t202" style="position:absolute;margin-left:.45pt;margin-top:-6.1pt;width:538.6pt;height:245.9pt;z-index:-251594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" fillcolor="white [3212]" stroked="f">
                <v:textbox style="mso-fit-shape-to-text:t">
                  <w:txbxContent>
                    <w:p w:rsidR="00DA243B" w:rsidRPr="00F45E6F" w:rsidRDefault="00DA243B" w:rsidP="00C123A6">
                      <w:pPr>
                        <w:pStyle w:val="Sinespaciado"/>
                        <w:jc w:val="both"/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5E6F"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Entorno J</w:t>
                      </w:r>
                      <w:r w:rsidR="00187BD0"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urídico Especí</w:t>
                      </w:r>
                      <w:bookmarkStart w:id="1" w:name="_GoBack"/>
                      <w:bookmarkEnd w:id="1"/>
                      <w:r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fico del Punto </w:t>
                      </w:r>
                      <w:r w:rsidR="00CD47D0"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14</w:t>
                      </w:r>
                    </w:p>
                    <w:p w:rsidR="00DA243B" w:rsidRPr="00BB6D26" w:rsidRDefault="00CD47D0" w:rsidP="004660D1">
                      <w:pPr>
                        <w:pStyle w:val="Sinespaciado"/>
                        <w:ind w:left="284"/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D47D0"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PUBLICAR LA INFORMACIÓN A QUE SE REFIERE LA NORMA PARA ARMONIZAR LA PRESENTACIÓN DE LA INFORMACIÓN ADICIONAL A LA INICIATIVA DE LA LEY DE INGRESOS</w:t>
                      </w:r>
                      <w:r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70EF8" w:rsidRDefault="00270EF8"/>
    <w:p w:rsidR="00CD47D0" w:rsidRDefault="004660D1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46E77AD3" wp14:editId="395FD056">
                <wp:simplePos x="0" y="0"/>
                <wp:positionH relativeFrom="column">
                  <wp:posOffset>3973583</wp:posOffset>
                </wp:positionH>
                <wp:positionV relativeFrom="paragraph">
                  <wp:posOffset>175895</wp:posOffset>
                </wp:positionV>
                <wp:extent cx="1021080" cy="287655"/>
                <wp:effectExtent l="0" t="0" r="7620" b="0"/>
                <wp:wrapNone/>
                <wp:docPr id="205" name="Cuadro de texto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1080" cy="2876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D47D0" w:rsidRPr="00AD394B" w:rsidRDefault="00CD47D0" w:rsidP="00216A88">
                            <w:pPr>
                              <w:pStyle w:val="Sinespaciado"/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394B"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rtículo 61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77AD3" id="Cuadro de texto 205" o:spid="_x0000_s1027" type="#_x0000_t202" style="position:absolute;margin-left:312.9pt;margin-top:13.85pt;width:80.4pt;height:22.6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" fillcolor="white [3212]" stroked="f">
                <v:textbox>
                  <w:txbxContent>
                    <w:p w:rsidR="00CD47D0" w:rsidRPr="00AD394B" w:rsidRDefault="00CD47D0" w:rsidP="00216A88">
                      <w:pPr>
                        <w:pStyle w:val="Sinespaciado"/>
                        <w:rPr>
                          <w:rFonts w:asciiTheme="majorHAnsi" w:hAnsiTheme="majorHAnsi"/>
                          <w:color w:val="000000" w:themeColor="text1"/>
                          <w:szCs w:val="72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D394B">
                        <w:rPr>
                          <w:rFonts w:asciiTheme="majorHAnsi" w:hAnsiTheme="majorHAnsi"/>
                          <w:color w:val="000000" w:themeColor="text1"/>
                          <w:szCs w:val="72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</w:t>
                      </w:r>
                      <w:r>
                        <w:rPr>
                          <w:rFonts w:asciiTheme="majorHAnsi" w:hAnsiTheme="majorHAnsi"/>
                          <w:color w:val="000000" w:themeColor="text1"/>
                          <w:szCs w:val="72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rtículo 61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7"/>
        <w:gridCol w:w="8873"/>
      </w:tblGrid>
      <w:tr w:rsidR="00CD47D0" w:rsidRPr="00AF0A1E" w:rsidTr="004660D1">
        <w:trPr>
          <w:trHeight w:val="8550"/>
        </w:trPr>
        <w:tc>
          <w:tcPr>
            <w:tcW w:w="1919" w:type="pct"/>
            <w:vAlign w:val="center"/>
          </w:tcPr>
          <w:p w:rsidR="00CD47D0" w:rsidRPr="00CD47D0" w:rsidRDefault="00CD47D0" w:rsidP="00CD47D0">
            <w:pPr>
              <w:pStyle w:val="Sinespaciado"/>
              <w:numPr>
                <w:ilvl w:val="0"/>
                <w:numId w:val="19"/>
              </w:numPr>
              <w:ind w:left="454" w:right="458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D47D0">
              <w:rPr>
                <w:rFonts w:asciiTheme="minorHAnsi" w:hAnsiTheme="minorHAnsi"/>
                <w:sz w:val="24"/>
              </w:rPr>
              <w:t xml:space="preserve">El </w:t>
            </w:r>
            <w:r w:rsidRPr="00CD47D0">
              <w:rPr>
                <w:rFonts w:asciiTheme="minorHAnsi" w:hAnsiTheme="minorHAnsi"/>
                <w:b/>
                <w:sz w:val="24"/>
                <w:highlight w:val="yellow"/>
              </w:rPr>
              <w:t>Artículo 61, fracción I,</w:t>
            </w:r>
            <w:r w:rsidRPr="00CD47D0">
              <w:rPr>
                <w:rFonts w:asciiTheme="minorHAnsi" w:hAnsiTheme="minorHAnsi"/>
                <w:sz w:val="24"/>
              </w:rPr>
              <w:t xml:space="preserve"> del Título V de la </w:t>
            </w:r>
            <w:r w:rsidRPr="00CD47D0">
              <w:rPr>
                <w:rFonts w:asciiTheme="minorHAnsi" w:hAnsiTheme="minorHAnsi"/>
                <w:b/>
                <w:sz w:val="24"/>
                <w:highlight w:val="yellow"/>
              </w:rPr>
              <w:t>LGCG</w:t>
            </w:r>
            <w:r w:rsidRPr="00CD47D0">
              <w:rPr>
                <w:rFonts w:asciiTheme="minorHAnsi" w:hAnsiTheme="minorHAnsi"/>
                <w:sz w:val="24"/>
              </w:rPr>
              <w:t xml:space="preserve"> (</w:t>
            </w:r>
            <w:hyperlink r:id="rId7" w:history="1">
              <w:r w:rsidR="00BF412C">
                <w:rPr>
                  <w:rStyle w:val="Hipervnculo"/>
                  <w:rFonts w:asciiTheme="minorHAnsi" w:hAnsiTheme="minorHAnsi"/>
                  <w:sz w:val="24"/>
                </w:rPr>
                <w:t>LeyGCG11-12-2013.pdf</w:t>
              </w:r>
            </w:hyperlink>
            <w:r w:rsidRPr="00CD47D0">
              <w:rPr>
                <w:rFonts w:asciiTheme="minorHAnsi" w:hAnsiTheme="minorHAnsi"/>
                <w:sz w:val="24"/>
              </w:rPr>
              <w:t>)</w:t>
            </w:r>
            <w:r>
              <w:rPr>
                <w:rFonts w:asciiTheme="minorHAnsi" w:hAnsiTheme="minorHAnsi"/>
                <w:sz w:val="24"/>
              </w:rPr>
              <w:t>,</w:t>
            </w:r>
            <w:r w:rsidRPr="00CD47D0">
              <w:rPr>
                <w:rFonts w:asciiTheme="minorHAnsi" w:hAnsiTheme="minorHAnsi"/>
                <w:sz w:val="24"/>
              </w:rPr>
              <w:t xml:space="preserve"> detalla la información que los entes públicos deben incluir en sus Iniciativas de Leyes de Ingresos:</w:t>
            </w:r>
          </w:p>
        </w:tc>
        <w:tc>
          <w:tcPr>
            <w:tcW w:w="3081" w:type="pct"/>
            <w:vAlign w:val="center"/>
          </w:tcPr>
          <w:p w:rsidR="00CD47D0" w:rsidRDefault="00CD47D0" w:rsidP="00216A88">
            <w:pPr>
              <w:pStyle w:val="Sinespaciado"/>
              <w:ind w:left="460" w:right="537"/>
              <w:jc w:val="both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4656804C" wp14:editId="7F84C337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81280</wp:posOffset>
                      </wp:positionV>
                      <wp:extent cx="5379085" cy="5403215"/>
                      <wp:effectExtent l="95250" t="57150" r="50165" b="121285"/>
                      <wp:wrapNone/>
                      <wp:docPr id="206" name="Rectángulo redondeado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79085" cy="5403273"/>
                              </a:xfrm>
                              <a:prstGeom prst="roundRect">
                                <a:avLst>
                                  <a:gd name="adj" fmla="val 7574"/>
                                </a:avLst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F3CF17C" id="Rectángulo redondeado 206" o:spid="_x0000_s1026" style="position:absolute;margin-left:7.2pt;margin-top:6.4pt;width:423.55pt;height:425.4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9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" filled="f" strokecolor="#70ad47 [3209]" strokeweight="2.25pt">
                      <v:stroke joinstyle="miter"/>
                      <v:shadow on="t" color="black" opacity="26214f" origin=".5,-.5" offset="-.74836mm,.74836mm"/>
                    </v:roundrect>
                  </w:pict>
                </mc:Fallback>
              </mc:AlternateContent>
            </w:r>
          </w:p>
          <w:p w:rsidR="00CD47D0" w:rsidRDefault="004660D1" w:rsidP="000424D8">
            <w:pPr>
              <w:pStyle w:val="Sinespaciado"/>
              <w:ind w:left="460" w:right="537"/>
              <w:jc w:val="both"/>
              <w:rPr>
                <w:rFonts w:asciiTheme="minorHAnsi" w:hAnsiTheme="minorHAnsi"/>
                <w:i/>
                <w:sz w:val="24"/>
              </w:rPr>
            </w:pPr>
            <w:r>
              <w:rPr>
                <w:rFonts w:asciiTheme="minorHAnsi" w:hAnsiTheme="minorHAnsi"/>
                <w:i/>
                <w:sz w:val="24"/>
              </w:rPr>
              <w:t>“</w:t>
            </w:r>
            <w:r w:rsidR="00CD47D0" w:rsidRPr="00CD47D0">
              <w:rPr>
                <w:rFonts w:asciiTheme="minorHAnsi" w:hAnsiTheme="minorHAnsi"/>
                <w:i/>
                <w:sz w:val="24"/>
              </w:rPr>
              <w:t>Además de la información prevista en las respectivas leyes en materia financiera, fiscal y presupuestaria y la información señalada en los artículos 46 a 48 de esta Ley, la Federación, las entidades federativas, los municipios, y en su caso, las demarcaciones territoriales del Distrito Federal, incluirán en sus respectivas leyes de ingresos y presupuestos de egresos u ordenamientos equivalentes, apartados específicos con la información siguiente:</w:t>
            </w:r>
          </w:p>
          <w:p w:rsidR="004660D1" w:rsidRPr="00CD47D0" w:rsidRDefault="004660D1" w:rsidP="000424D8">
            <w:pPr>
              <w:pStyle w:val="Sinespaciado"/>
              <w:ind w:left="460" w:right="537"/>
              <w:jc w:val="both"/>
              <w:rPr>
                <w:rFonts w:asciiTheme="minorHAnsi" w:hAnsiTheme="minorHAnsi"/>
                <w:i/>
                <w:sz w:val="24"/>
              </w:rPr>
            </w:pPr>
          </w:p>
          <w:p w:rsidR="00CD47D0" w:rsidRPr="00CD47D0" w:rsidRDefault="00CD47D0" w:rsidP="00CD47D0">
            <w:pPr>
              <w:pStyle w:val="Sinespaciado"/>
              <w:ind w:left="1027" w:right="537"/>
              <w:rPr>
                <w:rFonts w:asciiTheme="minorHAnsi" w:hAnsiTheme="minorHAnsi"/>
                <w:b/>
                <w:i/>
                <w:sz w:val="24"/>
                <w:highlight w:val="yellow"/>
              </w:rPr>
            </w:pPr>
            <w:r w:rsidRPr="00CD47D0">
              <w:rPr>
                <w:rFonts w:asciiTheme="minorHAnsi" w:hAnsiTheme="minorHAnsi"/>
                <w:b/>
                <w:bCs/>
                <w:i/>
                <w:sz w:val="24"/>
                <w:highlight w:val="yellow"/>
              </w:rPr>
              <w:t xml:space="preserve">I. </w:t>
            </w:r>
            <w:r w:rsidRPr="00CD47D0">
              <w:rPr>
                <w:rFonts w:asciiTheme="minorHAnsi" w:hAnsiTheme="minorHAnsi"/>
                <w:b/>
                <w:i/>
                <w:sz w:val="24"/>
                <w:highlight w:val="yellow"/>
              </w:rPr>
              <w:t xml:space="preserve">Leyes de Ingresos: </w:t>
            </w:r>
          </w:p>
          <w:p w:rsidR="00CD47D0" w:rsidRDefault="00CD47D0" w:rsidP="00CD47D0">
            <w:pPr>
              <w:pStyle w:val="Sinespaciado"/>
              <w:ind w:left="1878" w:right="537"/>
              <w:jc w:val="both"/>
              <w:rPr>
                <w:rFonts w:asciiTheme="minorHAnsi" w:hAnsiTheme="minorHAnsi"/>
                <w:i/>
                <w:sz w:val="24"/>
              </w:rPr>
            </w:pPr>
            <w:r w:rsidRPr="00CD47D0">
              <w:rPr>
                <w:rFonts w:asciiTheme="minorHAnsi" w:hAnsiTheme="minorHAnsi"/>
                <w:b/>
                <w:bCs/>
                <w:i/>
                <w:sz w:val="24"/>
                <w:highlight w:val="yellow"/>
              </w:rPr>
              <w:t xml:space="preserve">a) </w:t>
            </w:r>
            <w:r w:rsidRPr="00CD47D0">
              <w:rPr>
                <w:rFonts w:asciiTheme="minorHAnsi" w:hAnsiTheme="minorHAnsi"/>
                <w:i/>
                <w:sz w:val="24"/>
              </w:rPr>
              <w:t xml:space="preserve">Las fuentes de sus ingresos sean ordinarios o extraordinarios, desagregando el monto de cada una y, en el caso de las entidades federativas y municipios, incluyendo los recursos federales que se estime serán transferidos por la Federación a través de los fondos de participaciones y aportaciones federales, subsidios y convenios de reasignación; así como los ingresos recaudados con base en las disposiciones locales, y </w:t>
            </w:r>
          </w:p>
          <w:p w:rsidR="004660D1" w:rsidRDefault="004660D1" w:rsidP="00CD47D0">
            <w:pPr>
              <w:pStyle w:val="Sinespaciado"/>
              <w:ind w:left="1878" w:right="537"/>
              <w:jc w:val="both"/>
              <w:rPr>
                <w:rFonts w:asciiTheme="minorHAnsi" w:hAnsiTheme="minorHAnsi"/>
                <w:b/>
                <w:bCs/>
                <w:i/>
                <w:sz w:val="24"/>
                <w:highlight w:val="yellow"/>
              </w:rPr>
            </w:pPr>
          </w:p>
          <w:p w:rsidR="00CD47D0" w:rsidRPr="004660D1" w:rsidRDefault="00CD47D0" w:rsidP="004660D1">
            <w:pPr>
              <w:pStyle w:val="Sinespaciado"/>
              <w:ind w:left="1878" w:right="537"/>
              <w:jc w:val="both"/>
              <w:rPr>
                <w:rFonts w:asciiTheme="minorHAnsi" w:hAnsiTheme="minorHAnsi"/>
                <w:i/>
                <w:sz w:val="22"/>
              </w:rPr>
            </w:pPr>
            <w:r w:rsidRPr="004660D1">
              <w:rPr>
                <w:rFonts w:asciiTheme="minorHAnsi" w:hAnsiTheme="minorHAnsi"/>
                <w:b/>
                <w:bCs/>
                <w:i/>
                <w:sz w:val="24"/>
                <w:highlight w:val="yellow"/>
              </w:rPr>
              <w:t>b)</w:t>
            </w:r>
            <w:r w:rsidRPr="00CD47D0">
              <w:rPr>
                <w:rFonts w:asciiTheme="minorHAnsi" w:hAnsiTheme="minorHAnsi"/>
                <w:bCs/>
                <w:i/>
                <w:sz w:val="24"/>
              </w:rPr>
              <w:t xml:space="preserve"> </w:t>
            </w:r>
            <w:r w:rsidRPr="00CD47D0">
              <w:rPr>
                <w:rFonts w:asciiTheme="minorHAnsi" w:hAnsiTheme="minorHAnsi"/>
                <w:i/>
                <w:sz w:val="24"/>
              </w:rPr>
              <w:t>Las obligaciones de garantía o pago causante de deuda pública u otros pasivos de cualquier naturaleza con contrapartes, proveedores, contratistas y acreedores, incluyendo la disposición de bienes o expectativa de derechos sobre éstos, contraídos directamente o a través de cualquier instrumento jurídico considerado o no dentro de la estructura orgánica de la administración pública correspondiente, y la celebración de actos jurídicos análogos a los anteriores y sin perjuicio de que dichas obligaciones tengan como propósito el canje o refinanciamiento de otras o de que sea considerado o no como deuda pública en los ordenamientos aplicables. Asimismo, la composición de dichas obligaciones y el destino de los recursos obtenidos;</w:t>
            </w:r>
            <w:r w:rsidR="004660D1">
              <w:rPr>
                <w:rFonts w:asciiTheme="minorHAnsi" w:hAnsiTheme="minorHAnsi"/>
                <w:i/>
                <w:sz w:val="24"/>
              </w:rPr>
              <w:t xml:space="preserve"> (…)”</w:t>
            </w:r>
          </w:p>
        </w:tc>
      </w:tr>
    </w:tbl>
    <w:p w:rsidR="00CD47D0" w:rsidRDefault="00CD47D0"/>
    <w:p w:rsidR="004660D1" w:rsidRDefault="004660D1">
      <w:r>
        <w:br w:type="page"/>
      </w:r>
    </w:p>
    <w:p w:rsidR="00CD47D0" w:rsidRDefault="00CD47D0"/>
    <w:p w:rsidR="00B53584" w:rsidRDefault="00B53584"/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7"/>
        <w:gridCol w:w="8873"/>
      </w:tblGrid>
      <w:tr w:rsidR="00CD47D0" w:rsidRPr="00AF0A1E" w:rsidTr="00B53584">
        <w:trPr>
          <w:trHeight w:val="3364"/>
        </w:trPr>
        <w:tc>
          <w:tcPr>
            <w:tcW w:w="1919" w:type="pct"/>
            <w:vAlign w:val="center"/>
          </w:tcPr>
          <w:p w:rsidR="00CD47D0" w:rsidRPr="004660D1" w:rsidRDefault="004660D1" w:rsidP="00CD47D0">
            <w:pPr>
              <w:pStyle w:val="Sinespaciado"/>
              <w:numPr>
                <w:ilvl w:val="0"/>
                <w:numId w:val="19"/>
              </w:numPr>
              <w:ind w:left="454" w:right="458"/>
              <w:jc w:val="both"/>
              <w:rPr>
                <w:rFonts w:asciiTheme="minorHAnsi" w:hAnsiTheme="minorHAnsi"/>
                <w:sz w:val="24"/>
              </w:rPr>
            </w:pPr>
            <w:r w:rsidRPr="004660D1">
              <w:rPr>
                <w:rFonts w:asciiTheme="minorHAnsi" w:hAnsiTheme="minorHAnsi"/>
                <w:sz w:val="24"/>
              </w:rPr>
              <w:t xml:space="preserve">De igual forma, en el </w:t>
            </w:r>
            <w:r w:rsidRPr="004660D1">
              <w:rPr>
                <w:rFonts w:asciiTheme="minorHAnsi" w:hAnsiTheme="minorHAnsi"/>
                <w:b/>
                <w:sz w:val="24"/>
                <w:highlight w:val="yellow"/>
              </w:rPr>
              <w:t>último párrafo del mismo artículo</w:t>
            </w:r>
            <w:r w:rsidRPr="004660D1">
              <w:rPr>
                <w:rFonts w:asciiTheme="minorHAnsi" w:hAnsiTheme="minorHAnsi"/>
                <w:sz w:val="24"/>
              </w:rPr>
              <w:t xml:space="preserve"> señala:</w:t>
            </w:r>
          </w:p>
        </w:tc>
        <w:tc>
          <w:tcPr>
            <w:tcW w:w="3081" w:type="pct"/>
            <w:vAlign w:val="center"/>
          </w:tcPr>
          <w:p w:rsidR="00CD47D0" w:rsidRPr="004660D1" w:rsidRDefault="004660D1" w:rsidP="00216A88">
            <w:pPr>
              <w:pStyle w:val="Sinespaciado"/>
              <w:ind w:left="460" w:right="537"/>
              <w:jc w:val="both"/>
              <w:rPr>
                <w:rFonts w:asciiTheme="minorHAnsi" w:hAnsiTheme="minorHAnsi"/>
                <w:i/>
                <w:noProof/>
                <w:lang w:eastAsia="es-MX"/>
              </w:rPr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13629403" wp14:editId="47D502D8">
                      <wp:simplePos x="0" y="0"/>
                      <wp:positionH relativeFrom="column">
                        <wp:posOffset>355600</wp:posOffset>
                      </wp:positionH>
                      <wp:positionV relativeFrom="paragraph">
                        <wp:posOffset>-464185</wp:posOffset>
                      </wp:positionV>
                      <wp:extent cx="2185035" cy="287655"/>
                      <wp:effectExtent l="0" t="0" r="5715" b="0"/>
                      <wp:wrapNone/>
                      <wp:docPr id="214" name="Cuadro de texto 2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85060" cy="2876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4660D1" w:rsidRPr="00AD394B" w:rsidRDefault="004660D1" w:rsidP="004660D1">
                                  <w:pPr>
                                    <w:pStyle w:val="Sinespaciado"/>
                                    <w:rPr>
                                      <w:rFonts w:asciiTheme="majorHAnsi" w:hAnsiTheme="majorHAnsi"/>
                                      <w:color w:val="000000" w:themeColor="text1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D394B">
                                    <w:rPr>
                                      <w:rFonts w:asciiTheme="majorHAnsi" w:hAnsiTheme="majorHAnsi"/>
                                      <w:color w:val="000000" w:themeColor="text1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A</w:t>
                                  </w:r>
                                  <w:r>
                                    <w:rPr>
                                      <w:rFonts w:asciiTheme="majorHAnsi" w:hAnsiTheme="majorHAnsi"/>
                                      <w:color w:val="000000" w:themeColor="text1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rtículo 61 (último párrafo)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629403" id="Cuadro de texto 214" o:spid="_x0000_s1028" type="#_x0000_t202" style="position:absolute;left:0;text-align:left;margin-left:28pt;margin-top:-36.55pt;width:172.05pt;height:22.6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" fillcolor="white [3212]" stroked="f">
                      <v:textbox>
                        <w:txbxContent>
                          <w:p w:rsidR="004660D1" w:rsidRPr="00AD394B" w:rsidRDefault="004660D1" w:rsidP="004660D1">
                            <w:pPr>
                              <w:pStyle w:val="Sinespaciado"/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394B"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rtículo 61</w:t>
                            </w: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(último párrafo)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HAnsi" w:hAnsiTheme="minorHAnsi"/>
                <w:i/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-314960</wp:posOffset>
                      </wp:positionV>
                      <wp:extent cx="5426710" cy="1412875"/>
                      <wp:effectExtent l="114300" t="57150" r="59690" b="111125"/>
                      <wp:wrapNone/>
                      <wp:docPr id="213" name="Rectángulo redondeado 2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7023" cy="1412875"/>
                              </a:xfrm>
                              <a:prstGeom prst="round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08FEFC1" id="Rectángulo redondeado 213" o:spid="_x0000_s1026" style="position:absolute;margin-left:6.5pt;margin-top:-24.8pt;width:427.3pt;height:111.2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" filled="f" strokecolor="#70ad47 [3209]" strokeweight="2.25pt">
                      <v:stroke joinstyle="miter"/>
                      <v:shadow on="t" color="black" opacity="26214f" origin=".5,-.5" offset="-.74836mm,.74836mm"/>
                    </v:roundrect>
                  </w:pict>
                </mc:Fallback>
              </mc:AlternateContent>
            </w:r>
            <w:r>
              <w:rPr>
                <w:rFonts w:asciiTheme="minorHAnsi" w:hAnsiTheme="minorHAnsi"/>
                <w:i/>
                <w:sz w:val="24"/>
              </w:rPr>
              <w:t>“</w:t>
            </w:r>
            <w:r w:rsidRPr="004660D1">
              <w:rPr>
                <w:rFonts w:asciiTheme="minorHAnsi" w:hAnsiTheme="minorHAnsi"/>
                <w:i/>
                <w:sz w:val="24"/>
              </w:rPr>
              <w:t>El consejo establecerá las normas, metodologías, clasificadores y los formatos, con la estructura y contenido de la información, para armonizar la elaboración y presentación de los documentos señalados en este artículo para cumplir con las obligaciones de información previstas en esta Ley.</w:t>
            </w:r>
            <w:r>
              <w:rPr>
                <w:rFonts w:asciiTheme="minorHAnsi" w:hAnsiTheme="minorHAnsi"/>
                <w:i/>
                <w:sz w:val="24"/>
              </w:rPr>
              <w:t>”</w:t>
            </w:r>
          </w:p>
        </w:tc>
      </w:tr>
      <w:tr w:rsidR="004660D1" w:rsidRPr="00AF0A1E" w:rsidTr="00B53584">
        <w:trPr>
          <w:trHeight w:val="3364"/>
        </w:trPr>
        <w:tc>
          <w:tcPr>
            <w:tcW w:w="1919" w:type="pct"/>
            <w:vAlign w:val="center"/>
          </w:tcPr>
          <w:p w:rsidR="004660D1" w:rsidRPr="004660D1" w:rsidRDefault="004660D1" w:rsidP="004660D1">
            <w:pPr>
              <w:pStyle w:val="Sinespaciado"/>
              <w:numPr>
                <w:ilvl w:val="0"/>
                <w:numId w:val="19"/>
              </w:numPr>
              <w:ind w:left="454" w:right="600"/>
              <w:jc w:val="both"/>
              <w:rPr>
                <w:rFonts w:asciiTheme="minorHAnsi" w:hAnsiTheme="minorHAnsi"/>
                <w:sz w:val="24"/>
              </w:rPr>
            </w:pPr>
            <w:r w:rsidRPr="004660D1">
              <w:rPr>
                <w:rFonts w:asciiTheme="minorHAnsi" w:hAnsiTheme="minorHAnsi"/>
                <w:sz w:val="24"/>
              </w:rPr>
              <w:t xml:space="preserve">En el </w:t>
            </w:r>
            <w:r w:rsidRPr="004660D1">
              <w:rPr>
                <w:rFonts w:asciiTheme="minorHAnsi" w:hAnsiTheme="minorHAnsi"/>
                <w:b/>
                <w:sz w:val="24"/>
                <w:highlight w:val="yellow"/>
              </w:rPr>
              <w:t>D.O.F. del 3 de abril de 2013,</w:t>
            </w:r>
            <w:r w:rsidRPr="004660D1">
              <w:rPr>
                <w:rFonts w:asciiTheme="minorHAnsi" w:hAnsiTheme="minorHAnsi"/>
                <w:sz w:val="24"/>
              </w:rPr>
              <w:t xml:space="preserve"> el </w:t>
            </w:r>
            <w:r w:rsidRPr="004660D1">
              <w:rPr>
                <w:rFonts w:asciiTheme="minorHAnsi" w:hAnsiTheme="minorHAnsi"/>
                <w:b/>
                <w:sz w:val="24"/>
              </w:rPr>
              <w:t>CONAC</w:t>
            </w:r>
            <w:r w:rsidRPr="004660D1">
              <w:rPr>
                <w:rFonts w:asciiTheme="minorHAnsi" w:hAnsiTheme="minorHAnsi"/>
                <w:sz w:val="24"/>
              </w:rPr>
              <w:t xml:space="preserve"> </w:t>
            </w:r>
            <w:r w:rsidRPr="00B53584">
              <w:rPr>
                <w:rFonts w:asciiTheme="minorHAnsi" w:hAnsiTheme="minorHAnsi"/>
                <w:b/>
                <w:sz w:val="24"/>
                <w:highlight w:val="yellow"/>
              </w:rPr>
              <w:t>publicó la Metodología, Clasificadores y Formatos,</w:t>
            </w:r>
            <w:r w:rsidRPr="004660D1">
              <w:rPr>
                <w:rFonts w:asciiTheme="minorHAnsi" w:hAnsiTheme="minorHAnsi"/>
                <w:sz w:val="24"/>
              </w:rPr>
              <w:t xml:space="preserve"> con la estructura y contenido de la información, para armonizar la elaboración y presentación de la Iniciativa de Ley de Ingresos mediante la </w:t>
            </w:r>
            <w:r w:rsidRPr="004660D1">
              <w:rPr>
                <w:rFonts w:asciiTheme="minorHAnsi" w:hAnsiTheme="minorHAnsi"/>
                <w:b/>
                <w:sz w:val="24"/>
                <w:highlight w:val="yellow"/>
              </w:rPr>
              <w:t>“Norma para armonizar la presentación de la información adicional a la iniciativa de la Ley de Ingresos”</w:t>
            </w:r>
          </w:p>
        </w:tc>
        <w:tc>
          <w:tcPr>
            <w:tcW w:w="3081" w:type="pct"/>
            <w:vAlign w:val="center"/>
          </w:tcPr>
          <w:p w:rsidR="004660D1" w:rsidRPr="00B53584" w:rsidRDefault="00B53584" w:rsidP="00B53584">
            <w:pPr>
              <w:pStyle w:val="Sinespaciado"/>
              <w:ind w:left="460" w:right="537"/>
              <w:jc w:val="center"/>
              <w:rPr>
                <w:rFonts w:asciiTheme="minorHAnsi" w:hAnsiTheme="minorHAnsi"/>
                <w:i/>
                <w:noProof/>
                <w:sz w:val="24"/>
                <w:lang w:eastAsia="es-MX"/>
              </w:rPr>
            </w:pPr>
            <w:r>
              <w:rPr>
                <w:rFonts w:asciiTheme="minorHAnsi" w:hAnsiTheme="minorHAnsi"/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-245745</wp:posOffset>
                      </wp:positionV>
                      <wp:extent cx="5426075" cy="711835"/>
                      <wp:effectExtent l="114300" t="57150" r="3175" b="107315"/>
                      <wp:wrapNone/>
                      <wp:docPr id="215" name="Pentágono 2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6075" cy="712330"/>
                              </a:xfrm>
                              <a:prstGeom prst="homePlate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DA863FE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Pentágono 215" o:spid="_x0000_s1026" type="#_x0000_t15" style="position:absolute;margin-left:6.5pt;margin-top:-19.35pt;width:427.25pt;height:56.0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" adj="20182" filled="f" strokecolor="#70ad47 [3209]" strokeweight="2.25pt">
                      <v:shadow on="t" color="black" opacity="26214f" origin=".5,-.5" offset="-.74836mm,.74836mm"/>
                    </v:shape>
                  </w:pict>
                </mc:Fallback>
              </mc:AlternateContent>
            </w:r>
            <w:hyperlink r:id="rId8" w:history="1">
              <w:r w:rsidR="00BF412C">
                <w:rPr>
                  <w:rStyle w:val="Hipervnculo"/>
                  <w:rFonts w:asciiTheme="minorHAnsi" w:hAnsiTheme="minorHAnsi"/>
                  <w:sz w:val="24"/>
                </w:rPr>
                <w:t>Punto14LIngresos\NormaIniciativaLIngresos.pdf</w:t>
              </w:r>
            </w:hyperlink>
          </w:p>
        </w:tc>
      </w:tr>
    </w:tbl>
    <w:p w:rsidR="00CD47D0" w:rsidRDefault="00CD47D0"/>
    <w:p w:rsidR="00B20732" w:rsidRDefault="00B20732"/>
    <w:p w:rsidR="00E77087" w:rsidRDefault="00E77087"/>
    <w:sectPr w:rsidR="00E77087" w:rsidSect="00CF74D2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5FA" w:rsidRDefault="008A65FA" w:rsidP="007726D1">
      <w:pPr>
        <w:spacing w:after="0" w:line="240" w:lineRule="auto"/>
      </w:pPr>
      <w:r>
        <w:separator/>
      </w:r>
    </w:p>
  </w:endnote>
  <w:endnote w:type="continuationSeparator" w:id="0">
    <w:p w:rsidR="008A65FA" w:rsidRDefault="008A65FA" w:rsidP="00772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NueThin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5FA" w:rsidRDefault="008A65FA" w:rsidP="007726D1">
      <w:pPr>
        <w:spacing w:after="0" w:line="240" w:lineRule="auto"/>
      </w:pPr>
      <w:r>
        <w:separator/>
      </w:r>
    </w:p>
  </w:footnote>
  <w:footnote w:type="continuationSeparator" w:id="0">
    <w:p w:rsidR="008A65FA" w:rsidRDefault="008A65FA" w:rsidP="00772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028DB"/>
    <w:multiLevelType w:val="hybridMultilevel"/>
    <w:tmpl w:val="13BA0EE8"/>
    <w:lvl w:ilvl="0" w:tplc="C21C48B0">
      <w:start w:val="1"/>
      <w:numFmt w:val="lowerLetter"/>
      <w:lvlText w:val="%1)"/>
      <w:lvlJc w:val="left"/>
      <w:pPr>
        <w:ind w:left="1102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822" w:hanging="360"/>
      </w:pPr>
    </w:lvl>
    <w:lvl w:ilvl="2" w:tplc="080A001B" w:tentative="1">
      <w:start w:val="1"/>
      <w:numFmt w:val="lowerRoman"/>
      <w:lvlText w:val="%3."/>
      <w:lvlJc w:val="right"/>
      <w:pPr>
        <w:ind w:left="2542" w:hanging="180"/>
      </w:pPr>
    </w:lvl>
    <w:lvl w:ilvl="3" w:tplc="080A000F" w:tentative="1">
      <w:start w:val="1"/>
      <w:numFmt w:val="decimal"/>
      <w:lvlText w:val="%4."/>
      <w:lvlJc w:val="left"/>
      <w:pPr>
        <w:ind w:left="3262" w:hanging="360"/>
      </w:pPr>
    </w:lvl>
    <w:lvl w:ilvl="4" w:tplc="080A0019" w:tentative="1">
      <w:start w:val="1"/>
      <w:numFmt w:val="lowerLetter"/>
      <w:lvlText w:val="%5."/>
      <w:lvlJc w:val="left"/>
      <w:pPr>
        <w:ind w:left="3982" w:hanging="360"/>
      </w:pPr>
    </w:lvl>
    <w:lvl w:ilvl="5" w:tplc="080A001B" w:tentative="1">
      <w:start w:val="1"/>
      <w:numFmt w:val="lowerRoman"/>
      <w:lvlText w:val="%6."/>
      <w:lvlJc w:val="right"/>
      <w:pPr>
        <w:ind w:left="4702" w:hanging="180"/>
      </w:pPr>
    </w:lvl>
    <w:lvl w:ilvl="6" w:tplc="080A000F" w:tentative="1">
      <w:start w:val="1"/>
      <w:numFmt w:val="decimal"/>
      <w:lvlText w:val="%7."/>
      <w:lvlJc w:val="left"/>
      <w:pPr>
        <w:ind w:left="5422" w:hanging="360"/>
      </w:pPr>
    </w:lvl>
    <w:lvl w:ilvl="7" w:tplc="080A0019" w:tentative="1">
      <w:start w:val="1"/>
      <w:numFmt w:val="lowerLetter"/>
      <w:lvlText w:val="%8."/>
      <w:lvlJc w:val="left"/>
      <w:pPr>
        <w:ind w:left="6142" w:hanging="360"/>
      </w:pPr>
    </w:lvl>
    <w:lvl w:ilvl="8" w:tplc="080A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">
    <w:nsid w:val="0E4E0B2A"/>
    <w:multiLevelType w:val="hybridMultilevel"/>
    <w:tmpl w:val="4B3001C8"/>
    <w:lvl w:ilvl="0" w:tplc="AF225AA2">
      <w:start w:val="1"/>
      <w:numFmt w:val="decimal"/>
      <w:lvlText w:val="%1."/>
      <w:lvlJc w:val="left"/>
      <w:pPr>
        <w:ind w:left="110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27" w:hanging="360"/>
      </w:pPr>
    </w:lvl>
    <w:lvl w:ilvl="2" w:tplc="080A001B" w:tentative="1">
      <w:start w:val="1"/>
      <w:numFmt w:val="lowerRoman"/>
      <w:lvlText w:val="%3."/>
      <w:lvlJc w:val="right"/>
      <w:pPr>
        <w:ind w:left="2547" w:hanging="180"/>
      </w:pPr>
    </w:lvl>
    <w:lvl w:ilvl="3" w:tplc="080A000F" w:tentative="1">
      <w:start w:val="1"/>
      <w:numFmt w:val="decimal"/>
      <w:lvlText w:val="%4."/>
      <w:lvlJc w:val="left"/>
      <w:pPr>
        <w:ind w:left="3267" w:hanging="360"/>
      </w:pPr>
    </w:lvl>
    <w:lvl w:ilvl="4" w:tplc="080A0019" w:tentative="1">
      <w:start w:val="1"/>
      <w:numFmt w:val="lowerLetter"/>
      <w:lvlText w:val="%5."/>
      <w:lvlJc w:val="left"/>
      <w:pPr>
        <w:ind w:left="3987" w:hanging="360"/>
      </w:pPr>
    </w:lvl>
    <w:lvl w:ilvl="5" w:tplc="080A001B" w:tentative="1">
      <w:start w:val="1"/>
      <w:numFmt w:val="lowerRoman"/>
      <w:lvlText w:val="%6."/>
      <w:lvlJc w:val="right"/>
      <w:pPr>
        <w:ind w:left="4707" w:hanging="180"/>
      </w:pPr>
    </w:lvl>
    <w:lvl w:ilvl="6" w:tplc="080A000F" w:tentative="1">
      <w:start w:val="1"/>
      <w:numFmt w:val="decimal"/>
      <w:lvlText w:val="%7."/>
      <w:lvlJc w:val="left"/>
      <w:pPr>
        <w:ind w:left="5427" w:hanging="360"/>
      </w:pPr>
    </w:lvl>
    <w:lvl w:ilvl="7" w:tplc="080A0019" w:tentative="1">
      <w:start w:val="1"/>
      <w:numFmt w:val="lowerLetter"/>
      <w:lvlText w:val="%8."/>
      <w:lvlJc w:val="left"/>
      <w:pPr>
        <w:ind w:left="6147" w:hanging="360"/>
      </w:pPr>
    </w:lvl>
    <w:lvl w:ilvl="8" w:tplc="080A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2">
    <w:nsid w:val="0E7262F7"/>
    <w:multiLevelType w:val="hybridMultilevel"/>
    <w:tmpl w:val="81FE5844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92630"/>
    <w:multiLevelType w:val="hybridMultilevel"/>
    <w:tmpl w:val="82E40C1A"/>
    <w:lvl w:ilvl="0" w:tplc="F3CA3026">
      <w:start w:val="8"/>
      <w:numFmt w:val="bullet"/>
      <w:lvlText w:val="-"/>
      <w:lvlJc w:val="left"/>
      <w:pPr>
        <w:ind w:left="1952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712" w:hanging="360"/>
      </w:pPr>
      <w:rPr>
        <w:rFonts w:ascii="Wingdings" w:hAnsi="Wingdings" w:hint="default"/>
      </w:rPr>
    </w:lvl>
  </w:abstractNum>
  <w:abstractNum w:abstractNumId="4">
    <w:nsid w:val="159E15C2"/>
    <w:multiLevelType w:val="hybridMultilevel"/>
    <w:tmpl w:val="BEA41DBA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C7630C"/>
    <w:multiLevelType w:val="hybridMultilevel"/>
    <w:tmpl w:val="35E88802"/>
    <w:lvl w:ilvl="0" w:tplc="D1288A2C">
      <w:start w:val="1"/>
      <w:numFmt w:val="lowerLetter"/>
      <w:lvlText w:val="%1)"/>
      <w:lvlJc w:val="left"/>
      <w:pPr>
        <w:ind w:left="423" w:hanging="360"/>
      </w:pPr>
      <w:rPr>
        <w:rFonts w:hint="default"/>
        <w:b/>
        <w:i/>
      </w:rPr>
    </w:lvl>
    <w:lvl w:ilvl="1" w:tplc="080A0019" w:tentative="1">
      <w:start w:val="1"/>
      <w:numFmt w:val="lowerLetter"/>
      <w:lvlText w:val="%2."/>
      <w:lvlJc w:val="left"/>
      <w:pPr>
        <w:ind w:left="1143" w:hanging="360"/>
      </w:pPr>
    </w:lvl>
    <w:lvl w:ilvl="2" w:tplc="080A001B" w:tentative="1">
      <w:start w:val="1"/>
      <w:numFmt w:val="lowerRoman"/>
      <w:lvlText w:val="%3."/>
      <w:lvlJc w:val="right"/>
      <w:pPr>
        <w:ind w:left="1863" w:hanging="180"/>
      </w:pPr>
    </w:lvl>
    <w:lvl w:ilvl="3" w:tplc="080A000F" w:tentative="1">
      <w:start w:val="1"/>
      <w:numFmt w:val="decimal"/>
      <w:lvlText w:val="%4."/>
      <w:lvlJc w:val="left"/>
      <w:pPr>
        <w:ind w:left="2583" w:hanging="360"/>
      </w:pPr>
    </w:lvl>
    <w:lvl w:ilvl="4" w:tplc="080A0019" w:tentative="1">
      <w:start w:val="1"/>
      <w:numFmt w:val="lowerLetter"/>
      <w:lvlText w:val="%5."/>
      <w:lvlJc w:val="left"/>
      <w:pPr>
        <w:ind w:left="3303" w:hanging="360"/>
      </w:pPr>
    </w:lvl>
    <w:lvl w:ilvl="5" w:tplc="080A001B" w:tentative="1">
      <w:start w:val="1"/>
      <w:numFmt w:val="lowerRoman"/>
      <w:lvlText w:val="%6."/>
      <w:lvlJc w:val="right"/>
      <w:pPr>
        <w:ind w:left="4023" w:hanging="180"/>
      </w:pPr>
    </w:lvl>
    <w:lvl w:ilvl="6" w:tplc="080A000F" w:tentative="1">
      <w:start w:val="1"/>
      <w:numFmt w:val="decimal"/>
      <w:lvlText w:val="%7."/>
      <w:lvlJc w:val="left"/>
      <w:pPr>
        <w:ind w:left="4743" w:hanging="360"/>
      </w:pPr>
    </w:lvl>
    <w:lvl w:ilvl="7" w:tplc="080A0019" w:tentative="1">
      <w:start w:val="1"/>
      <w:numFmt w:val="lowerLetter"/>
      <w:lvlText w:val="%8."/>
      <w:lvlJc w:val="left"/>
      <w:pPr>
        <w:ind w:left="5463" w:hanging="360"/>
      </w:pPr>
    </w:lvl>
    <w:lvl w:ilvl="8" w:tplc="080A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6">
    <w:nsid w:val="20A64006"/>
    <w:multiLevelType w:val="hybridMultilevel"/>
    <w:tmpl w:val="D1F074B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097251"/>
    <w:multiLevelType w:val="hybridMultilevel"/>
    <w:tmpl w:val="C0B67762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AD0212"/>
    <w:multiLevelType w:val="hybridMultilevel"/>
    <w:tmpl w:val="90384516"/>
    <w:lvl w:ilvl="0" w:tplc="0B8AF3EE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34" w:hanging="360"/>
      </w:pPr>
    </w:lvl>
    <w:lvl w:ilvl="2" w:tplc="080A001B" w:tentative="1">
      <w:start w:val="1"/>
      <w:numFmt w:val="lowerRoman"/>
      <w:lvlText w:val="%3."/>
      <w:lvlJc w:val="right"/>
      <w:pPr>
        <w:ind w:left="2254" w:hanging="180"/>
      </w:pPr>
    </w:lvl>
    <w:lvl w:ilvl="3" w:tplc="080A000F" w:tentative="1">
      <w:start w:val="1"/>
      <w:numFmt w:val="decimal"/>
      <w:lvlText w:val="%4."/>
      <w:lvlJc w:val="left"/>
      <w:pPr>
        <w:ind w:left="2974" w:hanging="360"/>
      </w:pPr>
    </w:lvl>
    <w:lvl w:ilvl="4" w:tplc="080A0019" w:tentative="1">
      <w:start w:val="1"/>
      <w:numFmt w:val="lowerLetter"/>
      <w:lvlText w:val="%5."/>
      <w:lvlJc w:val="left"/>
      <w:pPr>
        <w:ind w:left="3694" w:hanging="360"/>
      </w:pPr>
    </w:lvl>
    <w:lvl w:ilvl="5" w:tplc="080A001B" w:tentative="1">
      <w:start w:val="1"/>
      <w:numFmt w:val="lowerRoman"/>
      <w:lvlText w:val="%6."/>
      <w:lvlJc w:val="right"/>
      <w:pPr>
        <w:ind w:left="4414" w:hanging="180"/>
      </w:pPr>
    </w:lvl>
    <w:lvl w:ilvl="6" w:tplc="080A000F" w:tentative="1">
      <w:start w:val="1"/>
      <w:numFmt w:val="decimal"/>
      <w:lvlText w:val="%7."/>
      <w:lvlJc w:val="left"/>
      <w:pPr>
        <w:ind w:left="5134" w:hanging="360"/>
      </w:pPr>
    </w:lvl>
    <w:lvl w:ilvl="7" w:tplc="080A0019" w:tentative="1">
      <w:start w:val="1"/>
      <w:numFmt w:val="lowerLetter"/>
      <w:lvlText w:val="%8."/>
      <w:lvlJc w:val="left"/>
      <w:pPr>
        <w:ind w:left="5854" w:hanging="360"/>
      </w:pPr>
    </w:lvl>
    <w:lvl w:ilvl="8" w:tplc="080A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>
    <w:nsid w:val="32C74013"/>
    <w:multiLevelType w:val="hybridMultilevel"/>
    <w:tmpl w:val="383A74E2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7A4132"/>
    <w:multiLevelType w:val="hybridMultilevel"/>
    <w:tmpl w:val="26DC2A70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BA1966"/>
    <w:multiLevelType w:val="hybridMultilevel"/>
    <w:tmpl w:val="1FF43AD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5F3595"/>
    <w:multiLevelType w:val="hybridMultilevel"/>
    <w:tmpl w:val="13E493B8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073852"/>
    <w:multiLevelType w:val="multilevel"/>
    <w:tmpl w:val="B5C4B7E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2DE2D2E"/>
    <w:multiLevelType w:val="hybridMultilevel"/>
    <w:tmpl w:val="35DED68E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3159CD"/>
    <w:multiLevelType w:val="hybridMultilevel"/>
    <w:tmpl w:val="8590605C"/>
    <w:lvl w:ilvl="0" w:tplc="CA20C768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34" w:hanging="360"/>
      </w:pPr>
    </w:lvl>
    <w:lvl w:ilvl="2" w:tplc="080A001B" w:tentative="1">
      <w:start w:val="1"/>
      <w:numFmt w:val="lowerRoman"/>
      <w:lvlText w:val="%3."/>
      <w:lvlJc w:val="right"/>
      <w:pPr>
        <w:ind w:left="2254" w:hanging="180"/>
      </w:pPr>
    </w:lvl>
    <w:lvl w:ilvl="3" w:tplc="080A000F" w:tentative="1">
      <w:start w:val="1"/>
      <w:numFmt w:val="decimal"/>
      <w:lvlText w:val="%4."/>
      <w:lvlJc w:val="left"/>
      <w:pPr>
        <w:ind w:left="2974" w:hanging="360"/>
      </w:pPr>
    </w:lvl>
    <w:lvl w:ilvl="4" w:tplc="080A0019" w:tentative="1">
      <w:start w:val="1"/>
      <w:numFmt w:val="lowerLetter"/>
      <w:lvlText w:val="%5."/>
      <w:lvlJc w:val="left"/>
      <w:pPr>
        <w:ind w:left="3694" w:hanging="360"/>
      </w:pPr>
    </w:lvl>
    <w:lvl w:ilvl="5" w:tplc="080A001B" w:tentative="1">
      <w:start w:val="1"/>
      <w:numFmt w:val="lowerRoman"/>
      <w:lvlText w:val="%6."/>
      <w:lvlJc w:val="right"/>
      <w:pPr>
        <w:ind w:left="4414" w:hanging="180"/>
      </w:pPr>
    </w:lvl>
    <w:lvl w:ilvl="6" w:tplc="080A000F" w:tentative="1">
      <w:start w:val="1"/>
      <w:numFmt w:val="decimal"/>
      <w:lvlText w:val="%7."/>
      <w:lvlJc w:val="left"/>
      <w:pPr>
        <w:ind w:left="5134" w:hanging="360"/>
      </w:pPr>
    </w:lvl>
    <w:lvl w:ilvl="7" w:tplc="080A0019" w:tentative="1">
      <w:start w:val="1"/>
      <w:numFmt w:val="lowerLetter"/>
      <w:lvlText w:val="%8."/>
      <w:lvlJc w:val="left"/>
      <w:pPr>
        <w:ind w:left="5854" w:hanging="360"/>
      </w:pPr>
    </w:lvl>
    <w:lvl w:ilvl="8" w:tplc="080A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6">
    <w:nsid w:val="7433250E"/>
    <w:multiLevelType w:val="hybridMultilevel"/>
    <w:tmpl w:val="71CE6BF8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C82012"/>
    <w:multiLevelType w:val="multilevel"/>
    <w:tmpl w:val="0DCCA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86748CF"/>
    <w:multiLevelType w:val="multilevel"/>
    <w:tmpl w:val="03A4F4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76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11"/>
  </w:num>
  <w:num w:numId="5">
    <w:abstractNumId w:val="6"/>
  </w:num>
  <w:num w:numId="6">
    <w:abstractNumId w:val="16"/>
  </w:num>
  <w:num w:numId="7">
    <w:abstractNumId w:val="10"/>
  </w:num>
  <w:num w:numId="8">
    <w:abstractNumId w:val="14"/>
  </w:num>
  <w:num w:numId="9">
    <w:abstractNumId w:val="18"/>
  </w:num>
  <w:num w:numId="10">
    <w:abstractNumId w:val="17"/>
  </w:num>
  <w:num w:numId="11">
    <w:abstractNumId w:val="13"/>
  </w:num>
  <w:num w:numId="12">
    <w:abstractNumId w:val="4"/>
  </w:num>
  <w:num w:numId="13">
    <w:abstractNumId w:val="7"/>
  </w:num>
  <w:num w:numId="14">
    <w:abstractNumId w:val="9"/>
  </w:num>
  <w:num w:numId="15">
    <w:abstractNumId w:val="15"/>
  </w:num>
  <w:num w:numId="16">
    <w:abstractNumId w:val="8"/>
  </w:num>
  <w:num w:numId="17">
    <w:abstractNumId w:val="3"/>
  </w:num>
  <w:num w:numId="18">
    <w:abstractNumId w:val="0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0JoZawoPa6AL0/P+2DNADgHkLF8HZ6O7TaMHyty0VV8qIk6OrYALwH8ipjXtsME2ztutCYPfECenwdiCXt6UAQ==" w:salt="34UfeYR1XE2HCD0/4wblK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FB2"/>
    <w:rsid w:val="000354E7"/>
    <w:rsid w:val="000424D8"/>
    <w:rsid w:val="000507CE"/>
    <w:rsid w:val="00055073"/>
    <w:rsid w:val="00071C99"/>
    <w:rsid w:val="000738FA"/>
    <w:rsid w:val="00082B17"/>
    <w:rsid w:val="00086A19"/>
    <w:rsid w:val="00086F12"/>
    <w:rsid w:val="00096A84"/>
    <w:rsid w:val="000A6D29"/>
    <w:rsid w:val="000D3399"/>
    <w:rsid w:val="000E6AA5"/>
    <w:rsid w:val="001274E8"/>
    <w:rsid w:val="00156D97"/>
    <w:rsid w:val="00163566"/>
    <w:rsid w:val="00163BC0"/>
    <w:rsid w:val="001819F4"/>
    <w:rsid w:val="00183C79"/>
    <w:rsid w:val="00187BD0"/>
    <w:rsid w:val="00194B30"/>
    <w:rsid w:val="001D602C"/>
    <w:rsid w:val="001F1C53"/>
    <w:rsid w:val="0020566B"/>
    <w:rsid w:val="002161F6"/>
    <w:rsid w:val="00216A88"/>
    <w:rsid w:val="00221161"/>
    <w:rsid w:val="0023462C"/>
    <w:rsid w:val="00240AA4"/>
    <w:rsid w:val="002643FF"/>
    <w:rsid w:val="00270EF8"/>
    <w:rsid w:val="002A619F"/>
    <w:rsid w:val="002C28FD"/>
    <w:rsid w:val="002C5E91"/>
    <w:rsid w:val="002D2928"/>
    <w:rsid w:val="002E20B3"/>
    <w:rsid w:val="002E66C6"/>
    <w:rsid w:val="002F3594"/>
    <w:rsid w:val="0033038A"/>
    <w:rsid w:val="00347D69"/>
    <w:rsid w:val="003568EC"/>
    <w:rsid w:val="00361E18"/>
    <w:rsid w:val="003823BB"/>
    <w:rsid w:val="00387752"/>
    <w:rsid w:val="003B7849"/>
    <w:rsid w:val="003C173C"/>
    <w:rsid w:val="004102D0"/>
    <w:rsid w:val="00411B7D"/>
    <w:rsid w:val="00415969"/>
    <w:rsid w:val="004504E3"/>
    <w:rsid w:val="00464D8B"/>
    <w:rsid w:val="004660D1"/>
    <w:rsid w:val="00466230"/>
    <w:rsid w:val="00470246"/>
    <w:rsid w:val="0047274D"/>
    <w:rsid w:val="00473B62"/>
    <w:rsid w:val="00473CEB"/>
    <w:rsid w:val="00476415"/>
    <w:rsid w:val="004878AE"/>
    <w:rsid w:val="004912D3"/>
    <w:rsid w:val="004B47C3"/>
    <w:rsid w:val="004B6FAA"/>
    <w:rsid w:val="004C17C9"/>
    <w:rsid w:val="004C421B"/>
    <w:rsid w:val="004E1F06"/>
    <w:rsid w:val="004E67D7"/>
    <w:rsid w:val="004F5166"/>
    <w:rsid w:val="00533910"/>
    <w:rsid w:val="00553CD2"/>
    <w:rsid w:val="00562DF0"/>
    <w:rsid w:val="0056749C"/>
    <w:rsid w:val="00596F6F"/>
    <w:rsid w:val="005D7C8B"/>
    <w:rsid w:val="005E40B3"/>
    <w:rsid w:val="006002E1"/>
    <w:rsid w:val="00606E64"/>
    <w:rsid w:val="0062776D"/>
    <w:rsid w:val="00641FB2"/>
    <w:rsid w:val="00643D95"/>
    <w:rsid w:val="00643F44"/>
    <w:rsid w:val="00647EF2"/>
    <w:rsid w:val="00662ED2"/>
    <w:rsid w:val="00681253"/>
    <w:rsid w:val="00690F43"/>
    <w:rsid w:val="00691F3B"/>
    <w:rsid w:val="00697215"/>
    <w:rsid w:val="006B28A4"/>
    <w:rsid w:val="006C09BD"/>
    <w:rsid w:val="006D38E7"/>
    <w:rsid w:val="00704E38"/>
    <w:rsid w:val="0074771B"/>
    <w:rsid w:val="00764FE2"/>
    <w:rsid w:val="007726D1"/>
    <w:rsid w:val="007754E2"/>
    <w:rsid w:val="00780B4D"/>
    <w:rsid w:val="007A2D43"/>
    <w:rsid w:val="007A2D4E"/>
    <w:rsid w:val="007C0024"/>
    <w:rsid w:val="007D7EC0"/>
    <w:rsid w:val="007E4F03"/>
    <w:rsid w:val="007E643E"/>
    <w:rsid w:val="0084575C"/>
    <w:rsid w:val="0084669F"/>
    <w:rsid w:val="00857D16"/>
    <w:rsid w:val="00874589"/>
    <w:rsid w:val="0088072B"/>
    <w:rsid w:val="00881B50"/>
    <w:rsid w:val="008847D6"/>
    <w:rsid w:val="00887268"/>
    <w:rsid w:val="008916B7"/>
    <w:rsid w:val="00896E57"/>
    <w:rsid w:val="008A65FA"/>
    <w:rsid w:val="008B0E04"/>
    <w:rsid w:val="008C7422"/>
    <w:rsid w:val="008D683F"/>
    <w:rsid w:val="008F2CB4"/>
    <w:rsid w:val="00920C50"/>
    <w:rsid w:val="00922563"/>
    <w:rsid w:val="009311C6"/>
    <w:rsid w:val="0093520F"/>
    <w:rsid w:val="0094716F"/>
    <w:rsid w:val="009541B5"/>
    <w:rsid w:val="00980496"/>
    <w:rsid w:val="00997FF3"/>
    <w:rsid w:val="009E680B"/>
    <w:rsid w:val="009F3B02"/>
    <w:rsid w:val="00A05842"/>
    <w:rsid w:val="00A17F8C"/>
    <w:rsid w:val="00A20FCD"/>
    <w:rsid w:val="00A35C5F"/>
    <w:rsid w:val="00A43926"/>
    <w:rsid w:val="00A656C6"/>
    <w:rsid w:val="00A817FD"/>
    <w:rsid w:val="00A96008"/>
    <w:rsid w:val="00AA2F05"/>
    <w:rsid w:val="00AA700C"/>
    <w:rsid w:val="00AD1615"/>
    <w:rsid w:val="00AD394B"/>
    <w:rsid w:val="00AF0A1E"/>
    <w:rsid w:val="00B17013"/>
    <w:rsid w:val="00B20732"/>
    <w:rsid w:val="00B27350"/>
    <w:rsid w:val="00B32227"/>
    <w:rsid w:val="00B53584"/>
    <w:rsid w:val="00BB1DF5"/>
    <w:rsid w:val="00BB6D26"/>
    <w:rsid w:val="00BB704F"/>
    <w:rsid w:val="00BF2A8F"/>
    <w:rsid w:val="00BF412C"/>
    <w:rsid w:val="00C036B5"/>
    <w:rsid w:val="00C123A6"/>
    <w:rsid w:val="00C440C9"/>
    <w:rsid w:val="00C51AAE"/>
    <w:rsid w:val="00C848E2"/>
    <w:rsid w:val="00CA1AD8"/>
    <w:rsid w:val="00CB703B"/>
    <w:rsid w:val="00CD47D0"/>
    <w:rsid w:val="00CD6AB3"/>
    <w:rsid w:val="00CF3FE9"/>
    <w:rsid w:val="00CF74D2"/>
    <w:rsid w:val="00D06CA0"/>
    <w:rsid w:val="00D17370"/>
    <w:rsid w:val="00D20FBB"/>
    <w:rsid w:val="00D5260F"/>
    <w:rsid w:val="00D6667C"/>
    <w:rsid w:val="00D9517B"/>
    <w:rsid w:val="00DA243B"/>
    <w:rsid w:val="00DA4285"/>
    <w:rsid w:val="00DA49C8"/>
    <w:rsid w:val="00DA653A"/>
    <w:rsid w:val="00DB6D8B"/>
    <w:rsid w:val="00DC4DDB"/>
    <w:rsid w:val="00DF5E02"/>
    <w:rsid w:val="00E215C8"/>
    <w:rsid w:val="00E27438"/>
    <w:rsid w:val="00E44146"/>
    <w:rsid w:val="00E442B7"/>
    <w:rsid w:val="00E46C09"/>
    <w:rsid w:val="00E47254"/>
    <w:rsid w:val="00E77087"/>
    <w:rsid w:val="00E861EB"/>
    <w:rsid w:val="00E9317F"/>
    <w:rsid w:val="00EB40BC"/>
    <w:rsid w:val="00ED6B88"/>
    <w:rsid w:val="00EF1557"/>
    <w:rsid w:val="00EF352A"/>
    <w:rsid w:val="00F00A67"/>
    <w:rsid w:val="00F32492"/>
    <w:rsid w:val="00F81F0D"/>
    <w:rsid w:val="00FA18C5"/>
    <w:rsid w:val="00FD58CA"/>
    <w:rsid w:val="00FE6560"/>
    <w:rsid w:val="00FF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F51DC3-13EF-4B33-8DD6-24E46FFD1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41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641FB2"/>
    <w:pPr>
      <w:spacing w:after="0" w:line="240" w:lineRule="auto"/>
    </w:pPr>
    <w:rPr>
      <w:rFonts w:ascii="HelveNueThin" w:hAnsi="HelveNueThin"/>
      <w:sz w:val="28"/>
      <w:szCs w:val="28"/>
    </w:rPr>
  </w:style>
  <w:style w:type="table" w:customStyle="1" w:styleId="Tabladecuadrcula3-nfasis61">
    <w:name w:val="Tabla de cuadrícula 3 - Énfasis 61"/>
    <w:basedOn w:val="Tablanormal"/>
    <w:uiPriority w:val="48"/>
    <w:rsid w:val="007477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Hipervnculo">
    <w:name w:val="Hyperlink"/>
    <w:basedOn w:val="Fuentedeprrafopredeter"/>
    <w:uiPriority w:val="99"/>
    <w:unhideWhenUsed/>
    <w:rsid w:val="00606E64"/>
    <w:rPr>
      <w:color w:val="0563C1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690F43"/>
    <w:pPr>
      <w:widowControl w:val="0"/>
      <w:spacing w:after="0" w:line="240" w:lineRule="auto"/>
    </w:pPr>
    <w:rPr>
      <w:lang w:val="en-US"/>
    </w:rPr>
  </w:style>
  <w:style w:type="table" w:styleId="Sombreadoclaro-nfasis6">
    <w:name w:val="Light Shading Accent 6"/>
    <w:basedOn w:val="Tablanormal"/>
    <w:uiPriority w:val="60"/>
    <w:rsid w:val="0098049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7726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26D1"/>
  </w:style>
  <w:style w:type="paragraph" w:styleId="Piedepgina">
    <w:name w:val="footer"/>
    <w:basedOn w:val="Normal"/>
    <w:link w:val="PiedepginaCar"/>
    <w:uiPriority w:val="99"/>
    <w:unhideWhenUsed/>
    <w:rsid w:val="007726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26D1"/>
  </w:style>
  <w:style w:type="paragraph" w:styleId="Prrafodelista">
    <w:name w:val="List Paragraph"/>
    <w:basedOn w:val="Normal"/>
    <w:uiPriority w:val="34"/>
    <w:qFormat/>
    <w:rsid w:val="00156D97"/>
    <w:pPr>
      <w:ind w:left="720"/>
      <w:contextualSpacing/>
    </w:pPr>
  </w:style>
  <w:style w:type="table" w:styleId="Tabladecuadrcula1clara-nfasis6">
    <w:name w:val="Grid Table 1 Light Accent 6"/>
    <w:basedOn w:val="Tablanormal"/>
    <w:uiPriority w:val="46"/>
    <w:rsid w:val="008745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4-nfasis6">
    <w:name w:val="Grid Table 4 Accent 6"/>
    <w:basedOn w:val="Tablanormal"/>
    <w:uiPriority w:val="49"/>
    <w:rsid w:val="00DC4D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styleId="Hipervnculovisitado">
    <w:name w:val="FollowedHyperlink"/>
    <w:basedOn w:val="Fuentedeprrafopredeter"/>
    <w:uiPriority w:val="99"/>
    <w:semiHidden/>
    <w:unhideWhenUsed/>
    <w:rsid w:val="00A817F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unto14LIngresos/NormaIniciativaLIngresos.pdf" TargetMode="External"/><Relationship Id="rId3" Type="http://schemas.openxmlformats.org/officeDocument/2006/relationships/settings" Target="settings.xml"/><Relationship Id="rId7" Type="http://schemas.openxmlformats.org/officeDocument/2006/relationships/hyperlink" Target="LeyGCG11-12-2013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413</Words>
  <Characters>2274</Characters>
  <Application>Microsoft Office Word</Application>
  <DocSecurity>8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Santos Juarez</dc:creator>
  <cp:keywords/>
  <dc:description/>
  <cp:lastModifiedBy>Héctor Salmerón</cp:lastModifiedBy>
  <cp:revision>7</cp:revision>
  <dcterms:created xsi:type="dcterms:W3CDTF">2014-03-11T00:44:00Z</dcterms:created>
  <dcterms:modified xsi:type="dcterms:W3CDTF">2014-03-24T23:23:00Z</dcterms:modified>
</cp:coreProperties>
</file>