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70EF8" w:rsidRDefault="00270EF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186366A0" wp14:editId="3864C8AD">
                <wp:simplePos x="0" y="0"/>
                <wp:positionH relativeFrom="margin">
                  <wp:posOffset>5938</wp:posOffset>
                </wp:positionH>
                <wp:positionV relativeFrom="paragraph">
                  <wp:posOffset>-77190</wp:posOffset>
                </wp:positionV>
                <wp:extent cx="7374576" cy="3122930"/>
                <wp:effectExtent l="0" t="0" r="0" b="381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4576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243B" w:rsidRPr="00F45E6F" w:rsidRDefault="00DA243B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 w:rsidR="008A5374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fico del Punto </w:t>
                            </w:r>
                            <w:r w:rsidR="00BF5F9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5005D2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  <w:p w:rsidR="00DA243B" w:rsidRPr="00BB6D26" w:rsidRDefault="005005D2" w:rsidP="00BF5F9F">
                            <w:pPr>
                              <w:pStyle w:val="Sinespaciado"/>
                              <w:ind w:left="284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05D2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PUBLICAR LA INFORMACIÓN A QUE SE REFIERE LA NORMA PARA LA DIFUSIÓN A LA CIUDADANÍA DE LA LEY DE INGRESOS Y DEL PRESUPUESTO DE EGRESOS</w:t>
                            </w:r>
                            <w:r w:rsidR="00BF5F9F" w:rsidRPr="00BF5F9F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366A0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1pt;width:580.7pt;height:245.9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" fillcolor="white [3212]" stroked="f">
                <v:textbox style="mso-fit-shape-to-text:t">
                  <w:txbxContent>
                    <w:p w:rsidR="00DA243B" w:rsidRPr="00F45E6F" w:rsidRDefault="00DA243B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 w:rsidR="008A5374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</w:t>
                      </w:r>
                      <w:bookmarkStart w:id="1" w:name="_GoBack"/>
                      <w:bookmarkEnd w:id="1"/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fico del Punto </w:t>
                      </w:r>
                      <w:r w:rsidR="00BF5F9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5005D2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  <w:p w:rsidR="00DA243B" w:rsidRPr="00BB6D26" w:rsidRDefault="005005D2" w:rsidP="00BF5F9F">
                      <w:pPr>
                        <w:pStyle w:val="Sinespaciado"/>
                        <w:ind w:left="284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005D2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PUBLICAR LA INFORMACIÓN A QUE SE REFIERE LA NORMA PARA LA DIFUSIÓN A LA CIUDADANÍA DE LA LEY DE INGRESOS Y DEL PRESUPUESTO DE EGRESOS</w:t>
                      </w:r>
                      <w:r w:rsidR="00BF5F9F" w:rsidRPr="00BF5F9F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p w:rsidR="00CD47D0" w:rsidRDefault="0075158D">
      <w:r>
        <w:rPr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337CF7F" wp14:editId="1F202756">
                <wp:simplePos x="0" y="0"/>
                <wp:positionH relativeFrom="column">
                  <wp:posOffset>3117273</wp:posOffset>
                </wp:positionH>
                <wp:positionV relativeFrom="paragraph">
                  <wp:posOffset>277586</wp:posOffset>
                </wp:positionV>
                <wp:extent cx="5949315" cy="1591293"/>
                <wp:effectExtent l="114300" t="57150" r="51435" b="123825"/>
                <wp:wrapNone/>
                <wp:docPr id="206" name="Rectángulo redondeado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315" cy="1591293"/>
                        </a:xfrm>
                        <a:prstGeom prst="roundRect">
                          <a:avLst>
                            <a:gd name="adj" fmla="val 7574"/>
                          </a:avLst>
                        </a:prstGeom>
                        <a:noFill/>
                        <a:ln w="28575">
                          <a:solidFill>
                            <a:schemeClr val="accent6"/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29CB0E" id="Rectángulo redondeado 206" o:spid="_x0000_s1026" style="position:absolute;margin-left:245.45pt;margin-top:21.85pt;width:468.45pt;height:125.3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" filled="f" strokecolor="#70ad47 [3209]" strokeweight="2.25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2624DF5" wp14:editId="00556BCD">
                <wp:simplePos x="0" y="0"/>
                <wp:positionH relativeFrom="column">
                  <wp:posOffset>3973195</wp:posOffset>
                </wp:positionH>
                <wp:positionV relativeFrom="paragraph">
                  <wp:posOffset>171837</wp:posOffset>
                </wp:positionV>
                <wp:extent cx="1021080" cy="287655"/>
                <wp:effectExtent l="0" t="0" r="7620" b="0"/>
                <wp:wrapNone/>
                <wp:docPr id="205" name="Cuadro de texto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47D0" w:rsidRPr="00AD394B" w:rsidRDefault="00CD47D0" w:rsidP="00216A88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6</w:t>
                            </w:r>
                            <w:r w:rsidR="005005D2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24DF5" id="Cuadro de texto 205" o:spid="_x0000_s1027" type="#_x0000_t202" style="position:absolute;margin-left:312.85pt;margin-top:13.55pt;width:80.4pt;height:22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" fillcolor="white [3212]" stroked="f">
                <v:textbox>
                  <w:txbxContent>
                    <w:p w:rsidR="00CD47D0" w:rsidRPr="00AD394B" w:rsidRDefault="00CD47D0" w:rsidP="00216A88">
                      <w:pPr>
                        <w:pStyle w:val="Sinespaciado"/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94B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rtículo 6</w:t>
                      </w:r>
                      <w:r w:rsidR="005005D2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9723"/>
      </w:tblGrid>
      <w:tr w:rsidR="00CD47D0" w:rsidRPr="00AF0A1E" w:rsidTr="00FE3885">
        <w:trPr>
          <w:trHeight w:val="2596"/>
        </w:trPr>
        <w:tc>
          <w:tcPr>
            <w:tcW w:w="1624" w:type="pct"/>
            <w:vAlign w:val="center"/>
          </w:tcPr>
          <w:p w:rsidR="00BF5F9F" w:rsidRPr="00CD47D0" w:rsidRDefault="00BF5F9F" w:rsidP="005005D2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BF5F9F">
              <w:rPr>
                <w:rFonts w:asciiTheme="minorHAnsi" w:hAnsiTheme="minorHAnsi"/>
                <w:sz w:val="24"/>
                <w:szCs w:val="24"/>
              </w:rPr>
              <w:t xml:space="preserve">El </w:t>
            </w:r>
            <w:r w:rsidRPr="00BF5F9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Artículo 6</w:t>
            </w:r>
            <w:r w:rsidR="005005D2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2</w:t>
            </w:r>
            <w:r w:rsidRPr="00BF5F9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 xml:space="preserve">, </w:t>
            </w:r>
            <w:r w:rsidRPr="00BF5F9F">
              <w:rPr>
                <w:rFonts w:asciiTheme="minorHAnsi" w:hAnsiTheme="minorHAnsi"/>
                <w:sz w:val="24"/>
                <w:szCs w:val="24"/>
              </w:rPr>
              <w:t xml:space="preserve">del Título V de la </w:t>
            </w:r>
            <w:r w:rsidRPr="00C8209A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LGCG</w:t>
            </w:r>
            <w:r w:rsidRPr="00BF5F9F">
              <w:rPr>
                <w:rFonts w:asciiTheme="minorHAnsi" w:hAnsiTheme="minorHAnsi"/>
                <w:sz w:val="24"/>
                <w:szCs w:val="24"/>
              </w:rPr>
              <w:t xml:space="preserve"> (</w:t>
            </w:r>
            <w:hyperlink r:id="rId7" w:history="1">
              <w:r w:rsidR="0078170F">
                <w:rPr>
                  <w:rStyle w:val="Hipervnculo"/>
                  <w:rFonts w:asciiTheme="minorHAnsi" w:hAnsiTheme="minorHAnsi"/>
                  <w:sz w:val="24"/>
                </w:rPr>
                <w:t>LeyGCG11-12-2013.pdf</w:t>
              </w:r>
            </w:hyperlink>
            <w:r w:rsidRPr="00BF5F9F">
              <w:rPr>
                <w:rFonts w:asciiTheme="minorHAnsi" w:hAnsiTheme="minorHAnsi"/>
                <w:sz w:val="24"/>
                <w:szCs w:val="24"/>
              </w:rPr>
              <w:t>) detalla l</w:t>
            </w:r>
            <w:r w:rsidR="005005D2">
              <w:rPr>
                <w:rFonts w:asciiTheme="minorHAnsi" w:hAnsiTheme="minorHAnsi"/>
                <w:sz w:val="24"/>
                <w:szCs w:val="24"/>
              </w:rPr>
              <w:t>o siguiente</w:t>
            </w:r>
            <w:r w:rsidRPr="00BF5F9F">
              <w:rPr>
                <w:rFonts w:asciiTheme="minorHAnsi" w:hAnsiTheme="minorHAnsi"/>
                <w:sz w:val="24"/>
                <w:szCs w:val="24"/>
              </w:rPr>
              <w:t>:</w:t>
            </w:r>
          </w:p>
        </w:tc>
        <w:tc>
          <w:tcPr>
            <w:tcW w:w="3376" w:type="pct"/>
          </w:tcPr>
          <w:p w:rsidR="0075158D" w:rsidRDefault="0075158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5005D2" w:rsidRDefault="005005D2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i/>
                <w:sz w:val="24"/>
              </w:rPr>
              <w:t>“</w:t>
            </w:r>
            <w:r w:rsidRPr="005005D2">
              <w:rPr>
                <w:rFonts w:asciiTheme="minorHAnsi" w:hAnsiTheme="minorHAnsi"/>
                <w:i/>
                <w:sz w:val="24"/>
              </w:rPr>
              <w:t>Los entes públicos elaborarán y difundirán en sus respectivas páginas de Internet documentos dirigidos a la ciudadanía que expliquen, de manera sencilla y en formatos accesibles, el contenido de la información financiera a que se refiere el artículo anterior.</w:t>
            </w:r>
          </w:p>
          <w:p w:rsidR="005005D2" w:rsidRPr="005005D2" w:rsidRDefault="005005D2" w:rsidP="0075158D">
            <w:pPr>
              <w:pStyle w:val="Sinespaciado"/>
              <w:ind w:left="567" w:right="33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CD47D0" w:rsidRPr="004660D1" w:rsidRDefault="005005D2" w:rsidP="0075158D">
            <w:pPr>
              <w:pStyle w:val="Sinespaciado"/>
              <w:ind w:left="567" w:right="253"/>
              <w:jc w:val="both"/>
              <w:rPr>
                <w:rFonts w:asciiTheme="minorHAnsi" w:hAnsiTheme="minorHAnsi"/>
                <w:i/>
                <w:sz w:val="22"/>
              </w:rPr>
            </w:pPr>
            <w:r w:rsidRPr="005005D2">
              <w:rPr>
                <w:rFonts w:asciiTheme="minorHAnsi" w:hAnsiTheme="minorHAnsi"/>
                <w:i/>
                <w:sz w:val="24"/>
              </w:rPr>
              <w:t>El consejo emitirá las normas, así como la estructura y contenido de la información que rijan la elaboración de los documentos señalados en el párrafo anterior, con el fin de armonizar su presentación y contenido.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</w:p>
        </w:tc>
      </w:tr>
      <w:tr w:rsidR="005005D2" w:rsidRPr="00AF0A1E" w:rsidTr="00FE3885">
        <w:trPr>
          <w:trHeight w:val="1711"/>
        </w:trPr>
        <w:tc>
          <w:tcPr>
            <w:tcW w:w="1624" w:type="pct"/>
            <w:vAlign w:val="center"/>
          </w:tcPr>
          <w:p w:rsidR="005005D2" w:rsidRPr="001D5620" w:rsidRDefault="005005D2" w:rsidP="005005D2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005D2">
              <w:rPr>
                <w:rFonts w:asciiTheme="minorHAnsi" w:hAnsiTheme="minorHAnsi"/>
                <w:sz w:val="24"/>
              </w:rPr>
              <w:t xml:space="preserve">En atención al </w:t>
            </w:r>
            <w:r w:rsidRPr="005005D2">
              <w:rPr>
                <w:rFonts w:asciiTheme="minorHAnsi" w:hAnsiTheme="minorHAnsi"/>
                <w:b/>
                <w:sz w:val="24"/>
                <w:highlight w:val="yellow"/>
              </w:rPr>
              <w:t>segundo párrafo del artículo citado,</w:t>
            </w:r>
            <w:r w:rsidRPr="005005D2">
              <w:rPr>
                <w:rFonts w:asciiTheme="minorHAnsi" w:hAnsiTheme="minorHAnsi"/>
                <w:sz w:val="24"/>
              </w:rPr>
              <w:t xml:space="preserve"> el </w:t>
            </w:r>
            <w:r w:rsidRPr="005005D2">
              <w:rPr>
                <w:rFonts w:asciiTheme="minorHAnsi" w:hAnsiTheme="minorHAnsi"/>
                <w:b/>
                <w:sz w:val="24"/>
                <w:highlight w:val="yellow"/>
              </w:rPr>
              <w:t>CONAC</w:t>
            </w:r>
            <w:r w:rsidRPr="005005D2">
              <w:rPr>
                <w:rFonts w:asciiTheme="minorHAnsi" w:hAnsiTheme="minorHAnsi"/>
                <w:sz w:val="24"/>
              </w:rPr>
              <w:t xml:space="preserve"> emitió a través del D.O.F. del 3 de abril de 2013</w:t>
            </w:r>
            <w:r>
              <w:rPr>
                <w:rFonts w:asciiTheme="minorHAnsi" w:hAnsiTheme="minorHAnsi"/>
                <w:sz w:val="24"/>
              </w:rPr>
              <w:t>,</w:t>
            </w:r>
            <w:r w:rsidRPr="005005D2">
              <w:rPr>
                <w:rFonts w:asciiTheme="minorHAnsi" w:hAnsiTheme="minorHAnsi"/>
                <w:sz w:val="24"/>
              </w:rPr>
              <w:t xml:space="preserve"> la </w:t>
            </w:r>
            <w:r w:rsidRPr="005005D2">
              <w:rPr>
                <w:rFonts w:asciiTheme="minorHAnsi" w:hAnsiTheme="minorHAnsi"/>
                <w:b/>
                <w:sz w:val="24"/>
                <w:highlight w:val="yellow"/>
              </w:rPr>
              <w:t>“Norma para la difusión a la ciudadanía de la Ley de Ingresos y el Decreto del Presupuesto de Egresos”</w:t>
            </w:r>
            <w:r w:rsidRPr="005005D2">
              <w:rPr>
                <w:rFonts w:asciiTheme="minorHAnsi" w:hAnsiTheme="minorHAnsi"/>
                <w:b/>
                <w:sz w:val="24"/>
              </w:rPr>
              <w:t>.</w:t>
            </w:r>
          </w:p>
          <w:p w:rsidR="001D5620" w:rsidRPr="005005D2" w:rsidRDefault="001D5620" w:rsidP="001D5620">
            <w:pPr>
              <w:pStyle w:val="Sinespaciado"/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76" w:type="pct"/>
            <w:vAlign w:val="center"/>
          </w:tcPr>
          <w:p w:rsidR="005005D2" w:rsidRDefault="005005D2" w:rsidP="005005D2">
            <w:pPr>
              <w:pStyle w:val="Sinespaciado"/>
              <w:ind w:left="460" w:right="253"/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6EFCF1D" wp14:editId="08E93C64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-39370</wp:posOffset>
                      </wp:positionV>
                      <wp:extent cx="5960110" cy="581025"/>
                      <wp:effectExtent l="114300" t="57150" r="59690" b="123825"/>
                      <wp:wrapNone/>
                      <wp:docPr id="217" name="Pentágono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0118" cy="581025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E83746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217" o:spid="_x0000_s1026" type="#_x0000_t15" style="position:absolute;margin-left:9.35pt;margin-top:-3.1pt;width:469.3pt;height:45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" adj="20547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5005D2" w:rsidRPr="005005D2" w:rsidRDefault="009C1554" w:rsidP="005005D2">
            <w:pPr>
              <w:pStyle w:val="Sinespaciado"/>
              <w:ind w:left="460" w:right="253"/>
              <w:jc w:val="center"/>
              <w:rPr>
                <w:rFonts w:asciiTheme="minorHAnsi" w:hAnsiTheme="minorHAnsi"/>
                <w:noProof/>
                <w:sz w:val="24"/>
                <w:lang w:eastAsia="es-MX"/>
              </w:rPr>
            </w:pPr>
            <w:hyperlink r:id="rId8" w:history="1">
              <w:r w:rsidR="0078170F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Punto16DifLIyPE\DifusiónLIyPE.pdf</w:t>
              </w:r>
            </w:hyperlink>
          </w:p>
        </w:tc>
      </w:tr>
      <w:tr w:rsidR="005005D2" w:rsidRPr="00AF0A1E" w:rsidTr="00FE3885">
        <w:trPr>
          <w:trHeight w:val="3882"/>
        </w:trPr>
        <w:tc>
          <w:tcPr>
            <w:tcW w:w="1624" w:type="pct"/>
            <w:vAlign w:val="center"/>
          </w:tcPr>
          <w:p w:rsidR="005005D2" w:rsidRPr="001D5620" w:rsidRDefault="001D5620" w:rsidP="001D5620">
            <w:pPr>
              <w:pStyle w:val="Sinespaciado"/>
              <w:numPr>
                <w:ilvl w:val="0"/>
                <w:numId w:val="19"/>
              </w:numPr>
              <w:ind w:left="454" w:right="318"/>
              <w:rPr>
                <w:rFonts w:asciiTheme="minorHAnsi" w:hAnsiTheme="minorHAnsi"/>
                <w:sz w:val="24"/>
              </w:rPr>
            </w:pPr>
            <w:r w:rsidRPr="001D5620">
              <w:rPr>
                <w:rFonts w:asciiTheme="minorHAnsi" w:hAnsiTheme="minorHAnsi"/>
                <w:b/>
                <w:sz w:val="24"/>
                <w:highlight w:val="yellow"/>
              </w:rPr>
              <w:t>Adicionalmente</w:t>
            </w:r>
            <w:r w:rsidRPr="001D5620">
              <w:rPr>
                <w:rFonts w:asciiTheme="minorHAnsi" w:hAnsiTheme="minorHAnsi"/>
                <w:sz w:val="24"/>
              </w:rPr>
              <w:t xml:space="preserve"> a lo tratado en los puntos 14, 15 y 16, e </w:t>
            </w:r>
            <w:r w:rsidRPr="001D5620">
              <w:rPr>
                <w:rFonts w:asciiTheme="minorHAnsi" w:hAnsiTheme="minorHAnsi"/>
                <w:b/>
                <w:sz w:val="24"/>
              </w:rPr>
              <w:t>independientemente que no se incluye explícitamente en la “Guía de cumplimiento de la LGCG y los documentos emitidos por el CONAC”</w:t>
            </w:r>
            <w:r w:rsidRPr="001D5620">
              <w:rPr>
                <w:rFonts w:asciiTheme="minorHAnsi" w:hAnsiTheme="minorHAnsi"/>
                <w:sz w:val="24"/>
              </w:rPr>
              <w:t xml:space="preserve">, el </w:t>
            </w:r>
            <w:r w:rsidRPr="001D5620">
              <w:rPr>
                <w:rFonts w:asciiTheme="minorHAnsi" w:hAnsiTheme="minorHAnsi"/>
                <w:b/>
                <w:sz w:val="24"/>
                <w:highlight w:val="yellow"/>
              </w:rPr>
              <w:t>Artículo 65 obliga a los entes a publicar, una vez aprobados, su Ley de Ingresos y su Presupuesto de Egresos.</w:t>
            </w:r>
          </w:p>
        </w:tc>
        <w:tc>
          <w:tcPr>
            <w:tcW w:w="3376" w:type="pct"/>
          </w:tcPr>
          <w:p w:rsidR="0075158D" w:rsidRDefault="00FE3885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574D3CA9" wp14:editId="491D0F0A">
                      <wp:simplePos x="0" y="0"/>
                      <wp:positionH relativeFrom="column">
                        <wp:posOffset>113154</wp:posOffset>
                      </wp:positionH>
                      <wp:positionV relativeFrom="paragraph">
                        <wp:posOffset>30653</wp:posOffset>
                      </wp:positionV>
                      <wp:extent cx="5948680" cy="1021278"/>
                      <wp:effectExtent l="114300" t="57150" r="52070" b="121920"/>
                      <wp:wrapNone/>
                      <wp:docPr id="218" name="Rectángulo redondeado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48680" cy="1021278"/>
                              </a:xfrm>
                              <a:prstGeom prst="roundRect">
                                <a:avLst>
                                  <a:gd name="adj" fmla="val 7841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A0A62B" id="Rectángulo redondeado 218" o:spid="_x0000_s1026" style="position:absolute;margin-left:8.9pt;margin-top:2.4pt;width:468.4pt;height:80.4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1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5005D2" w:rsidRDefault="001D5620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10DD9B75" wp14:editId="20A1A0A3">
                      <wp:simplePos x="0" y="0"/>
                      <wp:positionH relativeFrom="column">
                        <wp:posOffset>498475</wp:posOffset>
                      </wp:positionH>
                      <wp:positionV relativeFrom="paragraph">
                        <wp:posOffset>-349885</wp:posOffset>
                      </wp:positionV>
                      <wp:extent cx="1021080" cy="287655"/>
                      <wp:effectExtent l="0" t="0" r="7620" b="0"/>
                      <wp:wrapNone/>
                      <wp:docPr id="219" name="Cuadro de texto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1080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D5620" w:rsidRPr="00AD394B" w:rsidRDefault="001D5620" w:rsidP="001D5620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D394B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rtículo 65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D9B75" id="Cuadro de texto 219" o:spid="_x0000_s1028" type="#_x0000_t202" style="position:absolute;left:0;text-align:left;margin-left:39.25pt;margin-top:-27.55pt;width:80.4pt;height:22.6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" fillcolor="white [3212]" stroked="f">
                      <v:textbox>
                        <w:txbxContent>
                          <w:p w:rsidR="001D5620" w:rsidRPr="00AD394B" w:rsidRDefault="001D5620" w:rsidP="001D5620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6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D5620">
              <w:rPr>
                <w:rFonts w:asciiTheme="minorHAnsi" w:hAnsiTheme="minorHAnsi"/>
                <w:i/>
                <w:sz w:val="24"/>
              </w:rPr>
              <w:t>“Los ordenamientos a que se refiere el</w:t>
            </w:r>
            <w:r w:rsidRPr="001D5620">
              <w:rPr>
                <w:rFonts w:asciiTheme="minorHAnsi" w:hAnsiTheme="minorHAnsi"/>
                <w:b/>
                <w:i/>
                <w:sz w:val="24"/>
              </w:rPr>
              <w:t xml:space="preserve"> </w:t>
            </w:r>
            <w:r w:rsidRPr="001D5620">
              <w:rPr>
                <w:rFonts w:asciiTheme="minorHAnsi" w:hAnsiTheme="minorHAnsi"/>
                <w:b/>
                <w:i/>
                <w:sz w:val="24"/>
                <w:highlight w:val="yellow"/>
              </w:rPr>
              <w:t>artículo 63</w:t>
            </w:r>
            <w:r w:rsidRPr="001D5620">
              <w:rPr>
                <w:rFonts w:asciiTheme="minorHAnsi" w:hAnsiTheme="minorHAnsi"/>
                <w:b/>
                <w:i/>
                <w:sz w:val="24"/>
              </w:rPr>
              <w:t>,</w:t>
            </w:r>
            <w:r w:rsidRPr="001D5620">
              <w:rPr>
                <w:rFonts w:asciiTheme="minorHAnsi" w:hAnsiTheme="minorHAnsi"/>
                <w:i/>
                <w:sz w:val="24"/>
              </w:rPr>
              <w:t xml:space="preserve"> una vez que hayan sido aprobados por los poderes legislativos y los ayuntamientos, así como los dictámenes, acuerdos de comisión y, en su caso, actas de aprobación correspondientes, conforme al marco jurídico aplicable, deberán publicarse en las respectivas páginas de Internet.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</w:p>
          <w:p w:rsidR="0075158D" w:rsidRDefault="0075158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75158D" w:rsidRDefault="0075158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75158D" w:rsidRDefault="00FE3885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3187840C" wp14:editId="36E190E8">
                      <wp:simplePos x="0" y="0"/>
                      <wp:positionH relativeFrom="column">
                        <wp:posOffset>492760</wp:posOffset>
                      </wp:positionH>
                      <wp:positionV relativeFrom="paragraph">
                        <wp:posOffset>19050</wp:posOffset>
                      </wp:positionV>
                      <wp:extent cx="1021080" cy="287655"/>
                      <wp:effectExtent l="0" t="0" r="7620" b="0"/>
                      <wp:wrapNone/>
                      <wp:docPr id="221" name="Cuadro de texto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1080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5158D" w:rsidRPr="00AD394B" w:rsidRDefault="0075158D" w:rsidP="0075158D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D394B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rtículo 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8784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21" o:spid="_x0000_s1029" type="#_x0000_t202" style="position:absolute;left:0;text-align:left;margin-left:38.8pt;margin-top:1.5pt;width:80.4pt;height:22.6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" fillcolor="white [3212]" stroked="f">
                      <v:textbox>
                        <w:txbxContent>
                          <w:p w:rsidR="0075158D" w:rsidRPr="00AD394B" w:rsidRDefault="0075158D" w:rsidP="0075158D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158D">
              <w:rPr>
                <w:rFonts w:asciiTheme="minorHAnsi" w:hAnsiTheme="minorHAnsi"/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>
                      <wp:simplePos x="0" y="0"/>
                      <wp:positionH relativeFrom="column">
                        <wp:posOffset>77528</wp:posOffset>
                      </wp:positionH>
                      <wp:positionV relativeFrom="paragraph">
                        <wp:posOffset>179705</wp:posOffset>
                      </wp:positionV>
                      <wp:extent cx="5984240" cy="994674"/>
                      <wp:effectExtent l="114300" t="57150" r="54610" b="110490"/>
                      <wp:wrapNone/>
                      <wp:docPr id="220" name="Rectángulo redondeado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4240" cy="994674"/>
                              </a:xfrm>
                              <a:prstGeom prst="roundRect">
                                <a:avLst>
                                  <a:gd name="adj" fmla="val 9374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7EB019" id="Rectángulo redondeado 220" o:spid="_x0000_s1026" style="position:absolute;margin-left:6.1pt;margin-top:14.15pt;width:471.2pt;height:78.3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14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75158D" w:rsidRDefault="0075158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75158D" w:rsidRPr="0075158D" w:rsidRDefault="00274947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b/>
                <w:i/>
                <w:sz w:val="24"/>
                <w:highlight w:val="yellow"/>
              </w:rPr>
              <w:t>“</w:t>
            </w:r>
            <w:r w:rsidR="0075158D" w:rsidRPr="00274947">
              <w:rPr>
                <w:rFonts w:asciiTheme="minorHAnsi" w:hAnsiTheme="minorHAnsi"/>
                <w:b/>
                <w:i/>
                <w:sz w:val="24"/>
                <w:highlight w:val="yellow"/>
              </w:rPr>
              <w:t>La Iniciativa de Ley de Ingresos, el Proyecto de Presupuesto de Egresos</w:t>
            </w:r>
            <w:r w:rsidR="0075158D" w:rsidRPr="0075158D">
              <w:rPr>
                <w:rFonts w:asciiTheme="minorHAnsi" w:hAnsiTheme="minorHAnsi"/>
                <w:i/>
                <w:sz w:val="24"/>
              </w:rPr>
              <w:t xml:space="preserve"> y demás documentos de los entes públicos que dispongan los ordenamientos legales, </w:t>
            </w:r>
            <w:r w:rsidR="0075158D" w:rsidRPr="00274947">
              <w:rPr>
                <w:rFonts w:asciiTheme="minorHAnsi" w:hAnsiTheme="minorHAnsi"/>
                <w:b/>
                <w:i/>
                <w:sz w:val="24"/>
                <w:highlight w:val="yellow"/>
              </w:rPr>
              <w:t>deberán publicarse en las respectivas páginas de Internet.</w:t>
            </w:r>
            <w:r>
              <w:rPr>
                <w:rFonts w:asciiTheme="minorHAnsi" w:hAnsiTheme="minorHAnsi"/>
                <w:b/>
                <w:i/>
                <w:sz w:val="24"/>
              </w:rPr>
              <w:t>”</w:t>
            </w:r>
          </w:p>
        </w:tc>
      </w:tr>
    </w:tbl>
    <w:p w:rsidR="004660D1" w:rsidRDefault="004660D1"/>
    <w:sectPr w:rsidR="004660D1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DCF" w:rsidRDefault="00674DCF" w:rsidP="007726D1">
      <w:pPr>
        <w:spacing w:after="0" w:line="240" w:lineRule="auto"/>
      </w:pPr>
      <w:r>
        <w:separator/>
      </w:r>
    </w:p>
  </w:endnote>
  <w:endnote w:type="continuationSeparator" w:id="0">
    <w:p w:rsidR="00674DCF" w:rsidRDefault="00674DCF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DCF" w:rsidRDefault="00674DCF" w:rsidP="007726D1">
      <w:pPr>
        <w:spacing w:after="0" w:line="240" w:lineRule="auto"/>
      </w:pPr>
      <w:r>
        <w:separator/>
      </w:r>
    </w:p>
  </w:footnote>
  <w:footnote w:type="continuationSeparator" w:id="0">
    <w:p w:rsidR="00674DCF" w:rsidRDefault="00674DCF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8DB"/>
    <w:multiLevelType w:val="hybridMultilevel"/>
    <w:tmpl w:val="13BA0EE8"/>
    <w:lvl w:ilvl="0" w:tplc="C21C48B0">
      <w:start w:val="1"/>
      <w:numFmt w:val="lowerLetter"/>
      <w:lvlText w:val="%1)"/>
      <w:lvlJc w:val="left"/>
      <w:pPr>
        <w:ind w:left="110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22" w:hanging="360"/>
      </w:pPr>
    </w:lvl>
    <w:lvl w:ilvl="2" w:tplc="080A001B" w:tentative="1">
      <w:start w:val="1"/>
      <w:numFmt w:val="lowerRoman"/>
      <w:lvlText w:val="%3."/>
      <w:lvlJc w:val="right"/>
      <w:pPr>
        <w:ind w:left="2542" w:hanging="180"/>
      </w:pPr>
    </w:lvl>
    <w:lvl w:ilvl="3" w:tplc="080A000F" w:tentative="1">
      <w:start w:val="1"/>
      <w:numFmt w:val="decimal"/>
      <w:lvlText w:val="%4."/>
      <w:lvlJc w:val="left"/>
      <w:pPr>
        <w:ind w:left="3262" w:hanging="360"/>
      </w:pPr>
    </w:lvl>
    <w:lvl w:ilvl="4" w:tplc="080A0019" w:tentative="1">
      <w:start w:val="1"/>
      <w:numFmt w:val="lowerLetter"/>
      <w:lvlText w:val="%5."/>
      <w:lvlJc w:val="left"/>
      <w:pPr>
        <w:ind w:left="3982" w:hanging="360"/>
      </w:pPr>
    </w:lvl>
    <w:lvl w:ilvl="5" w:tplc="080A001B" w:tentative="1">
      <w:start w:val="1"/>
      <w:numFmt w:val="lowerRoman"/>
      <w:lvlText w:val="%6."/>
      <w:lvlJc w:val="right"/>
      <w:pPr>
        <w:ind w:left="4702" w:hanging="180"/>
      </w:pPr>
    </w:lvl>
    <w:lvl w:ilvl="6" w:tplc="080A000F" w:tentative="1">
      <w:start w:val="1"/>
      <w:numFmt w:val="decimal"/>
      <w:lvlText w:val="%7."/>
      <w:lvlJc w:val="left"/>
      <w:pPr>
        <w:ind w:left="5422" w:hanging="360"/>
      </w:pPr>
    </w:lvl>
    <w:lvl w:ilvl="7" w:tplc="080A0019" w:tentative="1">
      <w:start w:val="1"/>
      <w:numFmt w:val="lowerLetter"/>
      <w:lvlText w:val="%8."/>
      <w:lvlJc w:val="left"/>
      <w:pPr>
        <w:ind w:left="6142" w:hanging="360"/>
      </w:pPr>
    </w:lvl>
    <w:lvl w:ilvl="8" w:tplc="080A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2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92630"/>
    <w:multiLevelType w:val="hybridMultilevel"/>
    <w:tmpl w:val="82E40C1A"/>
    <w:lvl w:ilvl="0" w:tplc="F3CA3026">
      <w:start w:val="8"/>
      <w:numFmt w:val="bullet"/>
      <w:lvlText w:val="-"/>
      <w:lvlJc w:val="left"/>
      <w:pPr>
        <w:ind w:left="1952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4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6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97251"/>
    <w:multiLevelType w:val="hybridMultilevel"/>
    <w:tmpl w:val="C0B6776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D0212"/>
    <w:multiLevelType w:val="hybridMultilevel"/>
    <w:tmpl w:val="90384516"/>
    <w:lvl w:ilvl="0" w:tplc="0B8AF3E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F3595"/>
    <w:multiLevelType w:val="hybridMultilevel"/>
    <w:tmpl w:val="13E493B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159CD"/>
    <w:multiLevelType w:val="hybridMultilevel"/>
    <w:tmpl w:val="8590605C"/>
    <w:lvl w:ilvl="0" w:tplc="CA20C768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1"/>
  </w:num>
  <w:num w:numId="5">
    <w:abstractNumId w:val="6"/>
  </w:num>
  <w:num w:numId="6">
    <w:abstractNumId w:val="16"/>
  </w:num>
  <w:num w:numId="7">
    <w:abstractNumId w:val="10"/>
  </w:num>
  <w:num w:numId="8">
    <w:abstractNumId w:val="14"/>
  </w:num>
  <w:num w:numId="9">
    <w:abstractNumId w:val="18"/>
  </w:num>
  <w:num w:numId="10">
    <w:abstractNumId w:val="17"/>
  </w:num>
  <w:num w:numId="11">
    <w:abstractNumId w:val="13"/>
  </w:num>
  <w:num w:numId="12">
    <w:abstractNumId w:val="4"/>
  </w:num>
  <w:num w:numId="13">
    <w:abstractNumId w:val="7"/>
  </w:num>
  <w:num w:numId="14">
    <w:abstractNumId w:val="9"/>
  </w:num>
  <w:num w:numId="15">
    <w:abstractNumId w:val="15"/>
  </w:num>
  <w:num w:numId="16">
    <w:abstractNumId w:val="8"/>
  </w:num>
  <w:num w:numId="17">
    <w:abstractNumId w:val="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iJqu2Ln1yXdCTmo6d/DA6FkgZh0jsTYZev1OKQfkW4/kkT9U/V2WlaVfuOuh76zt6M4H5fPWccGiVZwfoVqudA==" w:salt="krHHK0nqaGwg1gNCUiLUu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354E7"/>
    <w:rsid w:val="000424D8"/>
    <w:rsid w:val="000507CE"/>
    <w:rsid w:val="00055073"/>
    <w:rsid w:val="00071C99"/>
    <w:rsid w:val="000738FA"/>
    <w:rsid w:val="00082B17"/>
    <w:rsid w:val="00086A19"/>
    <w:rsid w:val="00086F12"/>
    <w:rsid w:val="00096A84"/>
    <w:rsid w:val="000A6D29"/>
    <w:rsid w:val="000D3399"/>
    <w:rsid w:val="000E6AA5"/>
    <w:rsid w:val="001274E8"/>
    <w:rsid w:val="00156D97"/>
    <w:rsid w:val="00163566"/>
    <w:rsid w:val="00163BC0"/>
    <w:rsid w:val="00172B2D"/>
    <w:rsid w:val="00183C79"/>
    <w:rsid w:val="00194B30"/>
    <w:rsid w:val="001D5620"/>
    <w:rsid w:val="001D602C"/>
    <w:rsid w:val="001F1C53"/>
    <w:rsid w:val="0020566B"/>
    <w:rsid w:val="002161F6"/>
    <w:rsid w:val="00216A88"/>
    <w:rsid w:val="00221161"/>
    <w:rsid w:val="00240AA4"/>
    <w:rsid w:val="002643FF"/>
    <w:rsid w:val="00270EF8"/>
    <w:rsid w:val="00274947"/>
    <w:rsid w:val="002A619F"/>
    <w:rsid w:val="002C28FD"/>
    <w:rsid w:val="002C5E91"/>
    <w:rsid w:val="002D2928"/>
    <w:rsid w:val="002E20B3"/>
    <w:rsid w:val="002E66C6"/>
    <w:rsid w:val="002F3594"/>
    <w:rsid w:val="0033038A"/>
    <w:rsid w:val="00347D69"/>
    <w:rsid w:val="003568EC"/>
    <w:rsid w:val="00361E18"/>
    <w:rsid w:val="003823BB"/>
    <w:rsid w:val="00387752"/>
    <w:rsid w:val="003B7849"/>
    <w:rsid w:val="003C173C"/>
    <w:rsid w:val="003F1A96"/>
    <w:rsid w:val="004102D0"/>
    <w:rsid w:val="00411B7D"/>
    <w:rsid w:val="00415969"/>
    <w:rsid w:val="004504E3"/>
    <w:rsid w:val="00464D8B"/>
    <w:rsid w:val="004660D1"/>
    <w:rsid w:val="00466230"/>
    <w:rsid w:val="00470246"/>
    <w:rsid w:val="0047274D"/>
    <w:rsid w:val="00473B62"/>
    <w:rsid w:val="00473CEB"/>
    <w:rsid w:val="00476415"/>
    <w:rsid w:val="004878AE"/>
    <w:rsid w:val="004912D3"/>
    <w:rsid w:val="004B47C3"/>
    <w:rsid w:val="004B6FAA"/>
    <w:rsid w:val="004C17C9"/>
    <w:rsid w:val="004C421B"/>
    <w:rsid w:val="004E1F06"/>
    <w:rsid w:val="004E67D7"/>
    <w:rsid w:val="004F5166"/>
    <w:rsid w:val="005005D2"/>
    <w:rsid w:val="00533910"/>
    <w:rsid w:val="00553CD2"/>
    <w:rsid w:val="00562DF0"/>
    <w:rsid w:val="0056749C"/>
    <w:rsid w:val="00596F6F"/>
    <w:rsid w:val="005D7C8B"/>
    <w:rsid w:val="005E40B3"/>
    <w:rsid w:val="006002E1"/>
    <w:rsid w:val="00606E64"/>
    <w:rsid w:val="0062776D"/>
    <w:rsid w:val="00641FB2"/>
    <w:rsid w:val="00643D95"/>
    <w:rsid w:val="00643F44"/>
    <w:rsid w:val="00647EF2"/>
    <w:rsid w:val="00662ED2"/>
    <w:rsid w:val="00674DCF"/>
    <w:rsid w:val="00681253"/>
    <w:rsid w:val="00690F43"/>
    <w:rsid w:val="00691F3B"/>
    <w:rsid w:val="00697215"/>
    <w:rsid w:val="006B28A4"/>
    <w:rsid w:val="006C09BD"/>
    <w:rsid w:val="006D38E7"/>
    <w:rsid w:val="00704E38"/>
    <w:rsid w:val="007359E1"/>
    <w:rsid w:val="0074771B"/>
    <w:rsid w:val="0075158D"/>
    <w:rsid w:val="00764FE2"/>
    <w:rsid w:val="007726D1"/>
    <w:rsid w:val="007754E2"/>
    <w:rsid w:val="00780B4D"/>
    <w:rsid w:val="0078170F"/>
    <w:rsid w:val="007A2D43"/>
    <w:rsid w:val="007A2D4E"/>
    <w:rsid w:val="007C0024"/>
    <w:rsid w:val="007D7EC0"/>
    <w:rsid w:val="007E4F03"/>
    <w:rsid w:val="007E643E"/>
    <w:rsid w:val="0084575C"/>
    <w:rsid w:val="0084669F"/>
    <w:rsid w:val="00857D16"/>
    <w:rsid w:val="00874589"/>
    <w:rsid w:val="0088072B"/>
    <w:rsid w:val="00881B50"/>
    <w:rsid w:val="008847D6"/>
    <w:rsid w:val="00887268"/>
    <w:rsid w:val="008916B7"/>
    <w:rsid w:val="00896E57"/>
    <w:rsid w:val="008A5374"/>
    <w:rsid w:val="008B0E04"/>
    <w:rsid w:val="008C7422"/>
    <w:rsid w:val="008D683F"/>
    <w:rsid w:val="008F2CB4"/>
    <w:rsid w:val="00920C50"/>
    <w:rsid w:val="00922563"/>
    <w:rsid w:val="009311C6"/>
    <w:rsid w:val="0093520F"/>
    <w:rsid w:val="0094716F"/>
    <w:rsid w:val="009541B5"/>
    <w:rsid w:val="00980496"/>
    <w:rsid w:val="00997FF3"/>
    <w:rsid w:val="009A280D"/>
    <w:rsid w:val="009C1554"/>
    <w:rsid w:val="009E680B"/>
    <w:rsid w:val="009F3B02"/>
    <w:rsid w:val="00A05842"/>
    <w:rsid w:val="00A17F8C"/>
    <w:rsid w:val="00A20FCD"/>
    <w:rsid w:val="00A35C5F"/>
    <w:rsid w:val="00A43926"/>
    <w:rsid w:val="00A656C6"/>
    <w:rsid w:val="00A96008"/>
    <w:rsid w:val="00AA2F05"/>
    <w:rsid w:val="00AA700C"/>
    <w:rsid w:val="00AD1615"/>
    <w:rsid w:val="00AD394B"/>
    <w:rsid w:val="00AF0A1E"/>
    <w:rsid w:val="00B17013"/>
    <w:rsid w:val="00B20732"/>
    <w:rsid w:val="00B27350"/>
    <w:rsid w:val="00B32227"/>
    <w:rsid w:val="00B53584"/>
    <w:rsid w:val="00B815E8"/>
    <w:rsid w:val="00BB1DF5"/>
    <w:rsid w:val="00BB6D26"/>
    <w:rsid w:val="00BB704F"/>
    <w:rsid w:val="00BF2A8F"/>
    <w:rsid w:val="00BF5F9F"/>
    <w:rsid w:val="00C036B5"/>
    <w:rsid w:val="00C10332"/>
    <w:rsid w:val="00C123A6"/>
    <w:rsid w:val="00C440C9"/>
    <w:rsid w:val="00C51AAE"/>
    <w:rsid w:val="00C8209A"/>
    <w:rsid w:val="00C848E2"/>
    <w:rsid w:val="00CA1AD8"/>
    <w:rsid w:val="00CB703B"/>
    <w:rsid w:val="00CD47D0"/>
    <w:rsid w:val="00CD6AB3"/>
    <w:rsid w:val="00CF3FE9"/>
    <w:rsid w:val="00CF74D2"/>
    <w:rsid w:val="00D06CA0"/>
    <w:rsid w:val="00D17370"/>
    <w:rsid w:val="00D20FBB"/>
    <w:rsid w:val="00D22FFF"/>
    <w:rsid w:val="00D5260F"/>
    <w:rsid w:val="00D6667C"/>
    <w:rsid w:val="00D9517B"/>
    <w:rsid w:val="00DA243B"/>
    <w:rsid w:val="00DA4285"/>
    <w:rsid w:val="00DA49C8"/>
    <w:rsid w:val="00DA653A"/>
    <w:rsid w:val="00DB6D8B"/>
    <w:rsid w:val="00DC4DDB"/>
    <w:rsid w:val="00DF5E02"/>
    <w:rsid w:val="00E215C8"/>
    <w:rsid w:val="00E27438"/>
    <w:rsid w:val="00E44146"/>
    <w:rsid w:val="00E442B7"/>
    <w:rsid w:val="00E46C09"/>
    <w:rsid w:val="00E47254"/>
    <w:rsid w:val="00E77087"/>
    <w:rsid w:val="00E861EB"/>
    <w:rsid w:val="00E9317F"/>
    <w:rsid w:val="00EB40BC"/>
    <w:rsid w:val="00ED6B88"/>
    <w:rsid w:val="00EF1557"/>
    <w:rsid w:val="00EF352A"/>
    <w:rsid w:val="00F00A67"/>
    <w:rsid w:val="00F32492"/>
    <w:rsid w:val="00F81F0D"/>
    <w:rsid w:val="00FA18C5"/>
    <w:rsid w:val="00FD58CA"/>
    <w:rsid w:val="00FE3885"/>
    <w:rsid w:val="00FE6560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-nfasis6">
    <w:name w:val="Grid Table 4 Accent 6"/>
    <w:basedOn w:val="Tablanormal"/>
    <w:uiPriority w:val="49"/>
    <w:rsid w:val="00DC4D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C103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unto16DifLIyPE/Difusi&#243;nLIyPE.pdf" TargetMode="External"/><Relationship Id="rId3" Type="http://schemas.openxmlformats.org/officeDocument/2006/relationships/settings" Target="settings.xml"/><Relationship Id="rId7" Type="http://schemas.openxmlformats.org/officeDocument/2006/relationships/hyperlink" Target="LeyGCG11-12-201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272</Words>
  <Characters>1502</Characters>
  <Application>Microsoft Office Word</Application>
  <DocSecurity>8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10</cp:revision>
  <dcterms:created xsi:type="dcterms:W3CDTF">2014-03-11T01:35:00Z</dcterms:created>
  <dcterms:modified xsi:type="dcterms:W3CDTF">2014-03-24T23:26:00Z</dcterms:modified>
</cp:coreProperties>
</file>